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4079642B" w:rsidR="002B4F4A" w:rsidRDefault="00CC6142" w:rsidP="001A5A44">
      <w:pPr>
        <w:spacing w:after="0"/>
        <w:jc w:val="center"/>
        <w:rPr>
          <w:rFonts w:ascii="Verdana" w:hAnsi="Verdana"/>
          <w:b/>
          <w:bCs/>
          <w:sz w:val="20"/>
          <w:szCs w:val="20"/>
        </w:rPr>
      </w:pPr>
      <w:r w:rsidRPr="00A41E5E">
        <w:rPr>
          <w:rFonts w:ascii="Verdana" w:hAnsi="Verdana"/>
          <w:b/>
          <w:bCs/>
          <w:sz w:val="20"/>
          <w:szCs w:val="20"/>
        </w:rPr>
        <w:t>PARTE</w:t>
      </w:r>
      <w:r w:rsidR="00A41E5E" w:rsidRPr="00A41E5E">
        <w:rPr>
          <w:rFonts w:ascii="Verdana" w:hAnsi="Verdana"/>
          <w:b/>
          <w:bCs/>
          <w:sz w:val="20"/>
          <w:szCs w:val="20"/>
        </w:rPr>
        <w:t xml:space="preserve"> </w:t>
      </w:r>
      <w:r w:rsidR="003546C5">
        <w:rPr>
          <w:rFonts w:ascii="Verdana" w:hAnsi="Verdana"/>
          <w:b/>
          <w:bCs/>
          <w:sz w:val="20"/>
          <w:szCs w:val="20"/>
        </w:rPr>
        <w:t>1</w:t>
      </w:r>
    </w:p>
    <w:p w14:paraId="6000F327" w14:textId="70288040" w:rsidR="0006736C" w:rsidRDefault="003546C5" w:rsidP="001A5A44">
      <w:pPr>
        <w:spacing w:after="0"/>
        <w:jc w:val="center"/>
        <w:rPr>
          <w:rFonts w:ascii="Verdana" w:hAnsi="Verdana"/>
          <w:b/>
          <w:bCs/>
          <w:sz w:val="20"/>
          <w:szCs w:val="20"/>
        </w:rPr>
      </w:pPr>
      <w:r>
        <w:rPr>
          <w:rFonts w:ascii="Verdana" w:hAnsi="Verdana"/>
          <w:b/>
          <w:bCs/>
          <w:sz w:val="20"/>
          <w:szCs w:val="20"/>
        </w:rPr>
        <w:t>ADMINISTRACIÓN DE RIESGOS</w:t>
      </w:r>
    </w:p>
    <w:p w14:paraId="1BF07C81" w14:textId="77777777" w:rsidR="00721D02" w:rsidRDefault="00721D02" w:rsidP="001A5A44">
      <w:pPr>
        <w:spacing w:after="0"/>
        <w:jc w:val="center"/>
        <w:rPr>
          <w:rFonts w:ascii="Verdana" w:hAnsi="Verdana"/>
          <w:b/>
          <w:bCs/>
          <w:sz w:val="20"/>
          <w:szCs w:val="20"/>
        </w:rPr>
      </w:pPr>
    </w:p>
    <w:p w14:paraId="438B98D3" w14:textId="5AB22F66" w:rsidR="00A41E5E" w:rsidRDefault="00A41E5E" w:rsidP="001A5A44">
      <w:pPr>
        <w:spacing w:after="0"/>
        <w:jc w:val="center"/>
        <w:rPr>
          <w:rFonts w:ascii="Verdana" w:hAnsi="Verdana"/>
          <w:b/>
          <w:bCs/>
          <w:sz w:val="20"/>
          <w:szCs w:val="20"/>
        </w:rPr>
      </w:pPr>
      <w:r>
        <w:rPr>
          <w:rFonts w:ascii="Verdana" w:hAnsi="Verdana"/>
          <w:b/>
          <w:bCs/>
          <w:sz w:val="20"/>
          <w:szCs w:val="20"/>
        </w:rPr>
        <w:t xml:space="preserve">CAPÍTULO </w:t>
      </w:r>
      <w:r w:rsidR="003546C5">
        <w:rPr>
          <w:rFonts w:ascii="Verdana" w:hAnsi="Verdana"/>
          <w:b/>
          <w:bCs/>
          <w:sz w:val="20"/>
          <w:szCs w:val="20"/>
        </w:rPr>
        <w:t>1</w:t>
      </w:r>
    </w:p>
    <w:p w14:paraId="05E4D746" w14:textId="1ED2E929" w:rsidR="00A64291" w:rsidRDefault="00A64291" w:rsidP="001A5A44">
      <w:pPr>
        <w:spacing w:after="0"/>
        <w:jc w:val="center"/>
        <w:rPr>
          <w:rFonts w:ascii="Verdana" w:hAnsi="Verdana"/>
          <w:b/>
          <w:bCs/>
          <w:sz w:val="20"/>
          <w:szCs w:val="20"/>
        </w:rPr>
      </w:pPr>
      <w:r w:rsidRPr="00A64291">
        <w:rPr>
          <w:rFonts w:ascii="Verdana" w:hAnsi="Verdana"/>
          <w:b/>
          <w:bCs/>
          <w:sz w:val="20"/>
          <w:szCs w:val="20"/>
        </w:rPr>
        <w:t>SISTEMA INTEGRAL DE ADMINISTRACIÓN DE RIESGOS</w:t>
      </w:r>
    </w:p>
    <w:p w14:paraId="3AEDBD8A" w14:textId="51DF7DAB" w:rsidR="00721D02" w:rsidRDefault="00A64291" w:rsidP="001A5A44">
      <w:pPr>
        <w:spacing w:after="0"/>
        <w:jc w:val="center"/>
        <w:rPr>
          <w:rFonts w:ascii="Verdana" w:hAnsi="Verdana"/>
          <w:b/>
          <w:bCs/>
          <w:sz w:val="20"/>
          <w:szCs w:val="20"/>
        </w:rPr>
      </w:pPr>
      <w:r w:rsidRPr="00A64291">
        <w:rPr>
          <w:rFonts w:ascii="Verdana" w:hAnsi="Verdana"/>
          <w:b/>
          <w:bCs/>
          <w:sz w:val="20"/>
          <w:szCs w:val="20"/>
        </w:rPr>
        <w:t>(SIAR)</w:t>
      </w:r>
    </w:p>
    <w:p w14:paraId="1D9BDC1E" w14:textId="77777777" w:rsidR="007C022B" w:rsidRDefault="007C022B" w:rsidP="001A5A44">
      <w:pPr>
        <w:spacing w:after="0"/>
        <w:jc w:val="center"/>
        <w:rPr>
          <w:rFonts w:ascii="Verdana" w:hAnsi="Verdana"/>
          <w:b/>
          <w:bCs/>
          <w:sz w:val="20"/>
          <w:szCs w:val="20"/>
        </w:rPr>
      </w:pPr>
    </w:p>
    <w:p w14:paraId="5A25184E" w14:textId="32E88A74" w:rsidR="00DA0C0E" w:rsidRDefault="00DA0C0E" w:rsidP="001A5A44">
      <w:pPr>
        <w:spacing w:after="0"/>
        <w:jc w:val="center"/>
        <w:rPr>
          <w:rFonts w:ascii="Verdana" w:hAnsi="Verdana"/>
          <w:b/>
          <w:bCs/>
          <w:sz w:val="20"/>
          <w:szCs w:val="20"/>
        </w:rPr>
      </w:pPr>
      <w:r>
        <w:rPr>
          <w:rFonts w:ascii="Verdana" w:hAnsi="Verdana"/>
          <w:b/>
          <w:bCs/>
          <w:sz w:val="20"/>
          <w:szCs w:val="20"/>
        </w:rPr>
        <w:t xml:space="preserve">SECCIÓN </w:t>
      </w:r>
      <w:r w:rsidR="0009619E">
        <w:rPr>
          <w:rFonts w:ascii="Verdana" w:hAnsi="Verdana"/>
          <w:b/>
          <w:bCs/>
          <w:sz w:val="20"/>
          <w:szCs w:val="20"/>
        </w:rPr>
        <w:t>2</w:t>
      </w:r>
    </w:p>
    <w:p w14:paraId="34FD7863" w14:textId="4840A30E" w:rsidR="009D6127" w:rsidRDefault="0009619E" w:rsidP="001A5A44">
      <w:pPr>
        <w:jc w:val="center"/>
        <w:rPr>
          <w:rFonts w:ascii="Verdana" w:hAnsi="Verdana"/>
          <w:b/>
          <w:bCs/>
          <w:sz w:val="20"/>
          <w:szCs w:val="20"/>
        </w:rPr>
      </w:pPr>
      <w:r w:rsidRPr="0009619E">
        <w:rPr>
          <w:rFonts w:ascii="Verdana" w:hAnsi="Verdana"/>
          <w:b/>
          <w:bCs/>
          <w:sz w:val="20"/>
          <w:szCs w:val="20"/>
        </w:rPr>
        <w:t>ADMINISTRACIÓN POR RIESGO</w:t>
      </w:r>
    </w:p>
    <w:p w14:paraId="22E76BA8" w14:textId="77777777" w:rsidR="00FF03A9" w:rsidRDefault="00FF03A9" w:rsidP="00766CA6">
      <w:pPr>
        <w:spacing w:after="0"/>
        <w:jc w:val="both"/>
        <w:rPr>
          <w:rFonts w:ascii="Verdana" w:hAnsi="Verdana"/>
          <w:sz w:val="20"/>
          <w:szCs w:val="20"/>
        </w:rPr>
      </w:pPr>
    </w:p>
    <w:p w14:paraId="5063CF5A" w14:textId="791FBA06" w:rsidR="001A1FCF" w:rsidRDefault="001A1FCF" w:rsidP="00766CA6">
      <w:pPr>
        <w:spacing w:after="0"/>
        <w:jc w:val="both"/>
        <w:rPr>
          <w:rFonts w:ascii="Verdana" w:hAnsi="Verdana"/>
          <w:b/>
          <w:bCs/>
          <w:sz w:val="20"/>
          <w:szCs w:val="20"/>
        </w:rPr>
      </w:pPr>
      <w:r w:rsidRPr="001A1FCF">
        <w:rPr>
          <w:rFonts w:ascii="Verdana" w:hAnsi="Verdana"/>
          <w:b/>
          <w:bCs/>
          <w:sz w:val="20"/>
          <w:szCs w:val="20"/>
        </w:rPr>
        <w:t>INTRODUCCIÓN</w:t>
      </w:r>
    </w:p>
    <w:p w14:paraId="4839FF5F" w14:textId="77777777" w:rsidR="00DC5980" w:rsidRPr="00DC5980" w:rsidRDefault="00DC5980" w:rsidP="00766CA6">
      <w:pPr>
        <w:spacing w:after="0"/>
        <w:jc w:val="both"/>
        <w:rPr>
          <w:rFonts w:ascii="Verdana" w:hAnsi="Verdana"/>
          <w:b/>
          <w:bCs/>
          <w:sz w:val="20"/>
          <w:szCs w:val="20"/>
        </w:rPr>
      </w:pPr>
    </w:p>
    <w:p w14:paraId="1744A169" w14:textId="77777777" w:rsidR="001D1BFD" w:rsidRDefault="00A6029C" w:rsidP="00AB0BC4">
      <w:pPr>
        <w:spacing w:after="0"/>
        <w:jc w:val="both"/>
        <w:rPr>
          <w:rFonts w:ascii="Verdana" w:hAnsi="Verdana"/>
          <w:sz w:val="20"/>
          <w:szCs w:val="20"/>
        </w:rPr>
      </w:pPr>
      <w:r>
        <w:rPr>
          <w:rFonts w:ascii="Verdana" w:hAnsi="Verdana"/>
          <w:sz w:val="20"/>
          <w:szCs w:val="20"/>
        </w:rPr>
        <w:t>1.1.</w:t>
      </w:r>
      <w:r w:rsidR="00A43430">
        <w:rPr>
          <w:rFonts w:ascii="Verdana" w:hAnsi="Verdana"/>
          <w:sz w:val="20"/>
          <w:szCs w:val="20"/>
        </w:rPr>
        <w:t>2</w:t>
      </w:r>
      <w:r>
        <w:rPr>
          <w:rFonts w:ascii="Verdana" w:hAnsi="Verdana"/>
          <w:sz w:val="20"/>
          <w:szCs w:val="20"/>
        </w:rPr>
        <w:t>.1.</w:t>
      </w:r>
    </w:p>
    <w:p w14:paraId="37CB3332" w14:textId="058F3E3B" w:rsidR="00DC5980" w:rsidRPr="00DC5980" w:rsidRDefault="00DC5980" w:rsidP="00AB0BC4">
      <w:pPr>
        <w:spacing w:after="0"/>
        <w:jc w:val="both"/>
        <w:rPr>
          <w:rFonts w:ascii="Verdana" w:hAnsi="Verdana"/>
          <w:sz w:val="20"/>
          <w:szCs w:val="20"/>
        </w:rPr>
      </w:pPr>
      <w:r w:rsidRPr="00DC5980">
        <w:rPr>
          <w:rFonts w:ascii="Verdana" w:hAnsi="Verdana"/>
          <w:sz w:val="20"/>
          <w:szCs w:val="20"/>
        </w:rPr>
        <w:t xml:space="preserve">Las entidades señaladas en el ámbito de aplicación de cada riesgo </w:t>
      </w:r>
      <w:r w:rsidR="00C73A3B">
        <w:rPr>
          <w:rFonts w:ascii="Verdana" w:hAnsi="Verdana"/>
          <w:sz w:val="20"/>
          <w:szCs w:val="20"/>
        </w:rPr>
        <w:t>del SIAR</w:t>
      </w:r>
      <w:r w:rsidRPr="00DC5980">
        <w:rPr>
          <w:rFonts w:ascii="Verdana" w:hAnsi="Verdana"/>
          <w:sz w:val="20"/>
          <w:szCs w:val="20"/>
        </w:rPr>
        <w:t xml:space="preserve"> deben contar con una adecuada gestión de los riesgos de crédito, mercado, operacional, liquidez, país, contraparte, de seguros, garantía y tasa de interés del libro bancario, según corresponda. Así mismo debe contar con lineamientos generales para la agregación de datos sobre riesgos y presentación de información.</w:t>
      </w:r>
    </w:p>
    <w:p w14:paraId="3B846381" w14:textId="77777777" w:rsidR="001D1BFD" w:rsidRDefault="001D1BFD" w:rsidP="00766CA6">
      <w:pPr>
        <w:spacing w:after="0"/>
        <w:jc w:val="both"/>
        <w:rPr>
          <w:rFonts w:ascii="Verdana" w:hAnsi="Verdana"/>
          <w:sz w:val="20"/>
          <w:szCs w:val="20"/>
        </w:rPr>
      </w:pPr>
    </w:p>
    <w:p w14:paraId="37106416" w14:textId="3EF0EB6C" w:rsidR="00F04010" w:rsidRPr="000001A2" w:rsidRDefault="00F04010" w:rsidP="00766CA6">
      <w:pPr>
        <w:spacing w:after="0"/>
        <w:jc w:val="both"/>
        <w:rPr>
          <w:rFonts w:ascii="Verdana" w:hAnsi="Verdana"/>
          <w:sz w:val="20"/>
          <w:szCs w:val="20"/>
        </w:rPr>
      </w:pPr>
      <w:r>
        <w:rPr>
          <w:rFonts w:ascii="Verdana" w:hAnsi="Verdana"/>
          <w:sz w:val="20"/>
          <w:szCs w:val="20"/>
        </w:rPr>
        <w:t>1.1.</w:t>
      </w:r>
      <w:r w:rsidR="00A43430">
        <w:rPr>
          <w:rFonts w:ascii="Verdana" w:hAnsi="Verdana"/>
          <w:sz w:val="20"/>
          <w:szCs w:val="20"/>
        </w:rPr>
        <w:t>2</w:t>
      </w:r>
      <w:r>
        <w:rPr>
          <w:rFonts w:ascii="Verdana" w:hAnsi="Verdana"/>
          <w:sz w:val="20"/>
          <w:szCs w:val="20"/>
        </w:rPr>
        <w:t>.2.</w:t>
      </w:r>
    </w:p>
    <w:p w14:paraId="78888F7E" w14:textId="5B93E170" w:rsidR="00DC5980" w:rsidRPr="00DC5980" w:rsidRDefault="00DC5980" w:rsidP="00766CA6">
      <w:pPr>
        <w:jc w:val="both"/>
        <w:rPr>
          <w:rFonts w:ascii="Verdana" w:hAnsi="Verdana"/>
          <w:sz w:val="20"/>
          <w:szCs w:val="20"/>
        </w:rPr>
      </w:pPr>
      <w:r w:rsidRPr="00DC5980">
        <w:rPr>
          <w:rFonts w:ascii="Verdana" w:hAnsi="Verdana"/>
          <w:sz w:val="20"/>
          <w:szCs w:val="20"/>
        </w:rPr>
        <w:t xml:space="preserve">La gestión de cada uno de los riesgos debe hacer parte del SIAR, guardar consistencia con los lineamientos señalados en la </w:t>
      </w:r>
      <w:r w:rsidR="009C7E30">
        <w:rPr>
          <w:rFonts w:ascii="Verdana" w:hAnsi="Verdana"/>
          <w:sz w:val="20"/>
          <w:szCs w:val="20"/>
        </w:rPr>
        <w:t>sección 1</w:t>
      </w:r>
      <w:r w:rsidRPr="00DC5980">
        <w:rPr>
          <w:rFonts w:ascii="Verdana" w:hAnsi="Verdana"/>
          <w:sz w:val="20"/>
          <w:szCs w:val="20"/>
        </w:rPr>
        <w:t xml:space="preserve"> del presente capítulo y gestionarse tanto a nivel individual como consolidado. En este sentido, las políticas y procedimientos señaladas en la </w:t>
      </w:r>
      <w:r w:rsidR="00BF0AFA">
        <w:rPr>
          <w:rFonts w:ascii="Verdana" w:hAnsi="Verdana"/>
          <w:sz w:val="20"/>
          <w:szCs w:val="20"/>
        </w:rPr>
        <w:t>sección 1</w:t>
      </w:r>
      <w:r w:rsidRPr="00DC5980">
        <w:rPr>
          <w:rFonts w:ascii="Verdana" w:hAnsi="Verdana"/>
          <w:sz w:val="20"/>
          <w:szCs w:val="20"/>
        </w:rPr>
        <w:t xml:space="preserve"> deben desarrollarse para la gestión de cada uno de los riesgos anteriormente mencionados. Adicionalmente la gestión y control interno de cada riesgo debe ser coherente con la gestión de los demás riesgos y por tanto reconocer la interacción entre ellos.</w:t>
      </w:r>
    </w:p>
    <w:p w14:paraId="11C4F66C" w14:textId="398D1B19" w:rsidR="00F04010" w:rsidRPr="00F04010" w:rsidRDefault="00F04010" w:rsidP="00766CA6">
      <w:pPr>
        <w:spacing w:after="0"/>
        <w:jc w:val="both"/>
        <w:rPr>
          <w:rFonts w:ascii="Verdana" w:hAnsi="Verdana"/>
          <w:sz w:val="20"/>
          <w:szCs w:val="20"/>
        </w:rPr>
      </w:pPr>
      <w:r w:rsidRPr="00F04010">
        <w:rPr>
          <w:rFonts w:ascii="Verdana" w:hAnsi="Verdana"/>
          <w:sz w:val="20"/>
          <w:szCs w:val="20"/>
        </w:rPr>
        <w:t>1.1.</w:t>
      </w:r>
      <w:r w:rsidR="00A43430">
        <w:rPr>
          <w:rFonts w:ascii="Verdana" w:hAnsi="Verdana"/>
          <w:sz w:val="20"/>
          <w:szCs w:val="20"/>
        </w:rPr>
        <w:t>2</w:t>
      </w:r>
      <w:r w:rsidRPr="00F04010">
        <w:rPr>
          <w:rFonts w:ascii="Verdana" w:hAnsi="Verdana"/>
          <w:sz w:val="20"/>
          <w:szCs w:val="20"/>
        </w:rPr>
        <w:t>.</w:t>
      </w:r>
      <w:r>
        <w:rPr>
          <w:rFonts w:ascii="Verdana" w:hAnsi="Verdana"/>
          <w:sz w:val="20"/>
          <w:szCs w:val="20"/>
        </w:rPr>
        <w:t>3</w:t>
      </w:r>
      <w:r w:rsidRPr="00F04010">
        <w:rPr>
          <w:rFonts w:ascii="Verdana" w:hAnsi="Verdana"/>
          <w:sz w:val="20"/>
          <w:szCs w:val="20"/>
        </w:rPr>
        <w:t>.</w:t>
      </w:r>
    </w:p>
    <w:p w14:paraId="4923AB0F" w14:textId="493EAC2E" w:rsidR="00DC5980" w:rsidRPr="00DC5980" w:rsidRDefault="00DC5980" w:rsidP="00766CA6">
      <w:pPr>
        <w:jc w:val="both"/>
        <w:rPr>
          <w:rFonts w:ascii="Verdana" w:hAnsi="Verdana"/>
          <w:sz w:val="20"/>
          <w:szCs w:val="20"/>
        </w:rPr>
      </w:pPr>
      <w:r w:rsidRPr="00DC5980">
        <w:rPr>
          <w:rFonts w:ascii="Verdana" w:hAnsi="Verdana"/>
          <w:sz w:val="20"/>
          <w:szCs w:val="20"/>
        </w:rPr>
        <w:t xml:space="preserve">La presente </w:t>
      </w:r>
      <w:r w:rsidR="00680F8A">
        <w:rPr>
          <w:rFonts w:ascii="Verdana" w:hAnsi="Verdana"/>
          <w:sz w:val="20"/>
          <w:szCs w:val="20"/>
        </w:rPr>
        <w:t>sección</w:t>
      </w:r>
      <w:r w:rsidRPr="00DC5980">
        <w:rPr>
          <w:rFonts w:ascii="Verdana" w:hAnsi="Verdana"/>
          <w:sz w:val="20"/>
          <w:szCs w:val="20"/>
        </w:rPr>
        <w:t xml:space="preserve"> contiene los lineamientos y parámetros mínimos que las entidades deben observar para la gestión de los riesgos mencionados, así como para la agregación de datos sobre riesgos y presentación de información.</w:t>
      </w:r>
    </w:p>
    <w:p w14:paraId="739AB50B" w14:textId="77777777" w:rsidR="00DC5980" w:rsidRDefault="00DC5980" w:rsidP="00766CA6">
      <w:pPr>
        <w:spacing w:after="0"/>
        <w:jc w:val="both"/>
        <w:rPr>
          <w:rFonts w:ascii="Verdana" w:hAnsi="Verdana"/>
          <w:b/>
          <w:bCs/>
          <w:sz w:val="20"/>
          <w:szCs w:val="20"/>
        </w:rPr>
      </w:pPr>
    </w:p>
    <w:p w14:paraId="05C422F3" w14:textId="77777777" w:rsidR="005E4294" w:rsidRDefault="005E4294" w:rsidP="00766CA6">
      <w:pPr>
        <w:jc w:val="both"/>
        <w:rPr>
          <w:rFonts w:ascii="Verdana" w:hAnsi="Verdana"/>
          <w:b/>
          <w:bCs/>
          <w:sz w:val="20"/>
          <w:szCs w:val="20"/>
        </w:rPr>
      </w:pPr>
      <w:r>
        <w:rPr>
          <w:rFonts w:ascii="Verdana" w:hAnsi="Verdana"/>
          <w:b/>
          <w:bCs/>
          <w:sz w:val="20"/>
          <w:szCs w:val="20"/>
        </w:rPr>
        <w:br w:type="page"/>
      </w:r>
    </w:p>
    <w:p w14:paraId="2DBD00F3" w14:textId="6E27BE80" w:rsidR="00DC5980" w:rsidRDefault="00DC5980" w:rsidP="00766CA6">
      <w:pPr>
        <w:spacing w:after="0"/>
        <w:jc w:val="both"/>
        <w:rPr>
          <w:rFonts w:ascii="Verdana" w:hAnsi="Verdana"/>
          <w:b/>
          <w:bCs/>
          <w:sz w:val="20"/>
          <w:szCs w:val="20"/>
        </w:rPr>
      </w:pPr>
      <w:r>
        <w:rPr>
          <w:rFonts w:ascii="Verdana" w:hAnsi="Verdana"/>
          <w:b/>
          <w:bCs/>
          <w:sz w:val="20"/>
          <w:szCs w:val="20"/>
        </w:rPr>
        <w:lastRenderedPageBreak/>
        <w:t>GESTIÓN DEL RIESGO DE CRÉDITO</w:t>
      </w:r>
    </w:p>
    <w:p w14:paraId="29B43E39" w14:textId="77777777" w:rsidR="005C429D" w:rsidRDefault="005C429D" w:rsidP="00766CA6">
      <w:pPr>
        <w:spacing w:after="0"/>
        <w:jc w:val="both"/>
        <w:rPr>
          <w:rFonts w:ascii="Verdana" w:hAnsi="Verdana"/>
          <w:sz w:val="20"/>
          <w:szCs w:val="20"/>
        </w:rPr>
      </w:pPr>
    </w:p>
    <w:p w14:paraId="3B09CFB8" w14:textId="191582EE" w:rsidR="009A0857" w:rsidRPr="007735FE" w:rsidRDefault="009A0857" w:rsidP="00766CA6">
      <w:pPr>
        <w:jc w:val="both"/>
        <w:rPr>
          <w:rFonts w:ascii="Verdana" w:hAnsi="Verdana"/>
          <w:b/>
          <w:bCs/>
          <w:sz w:val="20"/>
          <w:szCs w:val="20"/>
        </w:rPr>
      </w:pPr>
      <w:r>
        <w:rPr>
          <w:rFonts w:ascii="Verdana" w:hAnsi="Verdana"/>
          <w:b/>
          <w:bCs/>
          <w:sz w:val="20"/>
          <w:szCs w:val="20"/>
        </w:rPr>
        <w:t>Definición de riesgo de crédito</w:t>
      </w:r>
    </w:p>
    <w:p w14:paraId="3A3B3533" w14:textId="0AE55207" w:rsidR="00DC5980" w:rsidRPr="000001A2" w:rsidRDefault="009A0857" w:rsidP="00766CA6">
      <w:pPr>
        <w:spacing w:after="0"/>
        <w:jc w:val="both"/>
        <w:rPr>
          <w:rFonts w:ascii="Verdana" w:hAnsi="Verdana"/>
          <w:sz w:val="20"/>
          <w:szCs w:val="20"/>
        </w:rPr>
      </w:pPr>
      <w:r>
        <w:rPr>
          <w:rFonts w:ascii="Verdana" w:hAnsi="Verdana"/>
          <w:sz w:val="20"/>
          <w:szCs w:val="20"/>
        </w:rPr>
        <w:t>1.1.2.4.</w:t>
      </w:r>
    </w:p>
    <w:p w14:paraId="26CB583B" w14:textId="23443061" w:rsidR="00443A04" w:rsidRDefault="00270E73" w:rsidP="00766CA6">
      <w:pPr>
        <w:jc w:val="both"/>
        <w:rPr>
          <w:rFonts w:ascii="Verdana" w:hAnsi="Verdana"/>
          <w:sz w:val="20"/>
          <w:szCs w:val="20"/>
        </w:rPr>
      </w:pPr>
      <w:r w:rsidRPr="00270E73">
        <w:rPr>
          <w:rFonts w:ascii="Verdana" w:hAnsi="Verdana"/>
          <w:sz w:val="20"/>
          <w:szCs w:val="20"/>
        </w:rPr>
        <w:t>Es la posibilidad de que la entidad incurra en pérdidas y disminuya el valor de sus activos como consecuencia de que un deudor o contraparte incumpla sus obligaciones.</w:t>
      </w:r>
    </w:p>
    <w:p w14:paraId="44EEAB05" w14:textId="7A7951A8" w:rsidR="005A64BE" w:rsidRPr="00F04010" w:rsidRDefault="005A64BE" w:rsidP="00766CA6">
      <w:pPr>
        <w:spacing w:after="0"/>
        <w:jc w:val="both"/>
        <w:rPr>
          <w:rFonts w:ascii="Verdana" w:hAnsi="Verdana"/>
          <w:sz w:val="20"/>
          <w:szCs w:val="20"/>
        </w:rPr>
      </w:pPr>
      <w:r w:rsidRPr="00F04010">
        <w:rPr>
          <w:rFonts w:ascii="Verdana" w:hAnsi="Verdana"/>
          <w:sz w:val="20"/>
          <w:szCs w:val="20"/>
        </w:rPr>
        <w:t>1.1.</w:t>
      </w:r>
      <w:r w:rsidR="00A43430">
        <w:rPr>
          <w:rFonts w:ascii="Verdana" w:hAnsi="Verdana"/>
          <w:sz w:val="20"/>
          <w:szCs w:val="20"/>
        </w:rPr>
        <w:t>2</w:t>
      </w:r>
      <w:r w:rsidRPr="00F04010">
        <w:rPr>
          <w:rFonts w:ascii="Verdana" w:hAnsi="Verdana"/>
          <w:sz w:val="20"/>
          <w:szCs w:val="20"/>
        </w:rPr>
        <w:t>.</w:t>
      </w:r>
      <w:r>
        <w:rPr>
          <w:rFonts w:ascii="Verdana" w:hAnsi="Verdana"/>
          <w:sz w:val="20"/>
          <w:szCs w:val="20"/>
        </w:rPr>
        <w:t>5</w:t>
      </w:r>
      <w:r w:rsidRPr="00F04010">
        <w:rPr>
          <w:rFonts w:ascii="Verdana" w:hAnsi="Verdana"/>
          <w:sz w:val="20"/>
          <w:szCs w:val="20"/>
        </w:rPr>
        <w:t>.</w:t>
      </w:r>
    </w:p>
    <w:p w14:paraId="2D613AFC" w14:textId="0D1E5547" w:rsidR="009F5C59" w:rsidRDefault="00051206" w:rsidP="00766CA6">
      <w:pPr>
        <w:jc w:val="both"/>
        <w:rPr>
          <w:rFonts w:ascii="Verdana" w:hAnsi="Verdana"/>
          <w:sz w:val="20"/>
          <w:szCs w:val="20"/>
        </w:rPr>
      </w:pPr>
      <w:r w:rsidRPr="00051206">
        <w:rPr>
          <w:rFonts w:ascii="Verdana" w:hAnsi="Verdana"/>
          <w:sz w:val="20"/>
          <w:szCs w:val="20"/>
        </w:rPr>
        <w:t xml:space="preserve">Para los propósitos del presente </w:t>
      </w:r>
      <w:r w:rsidR="00BF0AFA">
        <w:rPr>
          <w:rFonts w:ascii="Verdana" w:hAnsi="Verdana"/>
          <w:sz w:val="20"/>
          <w:szCs w:val="20"/>
        </w:rPr>
        <w:t>c</w:t>
      </w:r>
      <w:r w:rsidRPr="00051206">
        <w:rPr>
          <w:rFonts w:ascii="Verdana" w:hAnsi="Verdana"/>
          <w:sz w:val="20"/>
          <w:szCs w:val="20"/>
        </w:rPr>
        <w:t>apítulo se entiende también como deudor, los codeudores, los avalistas, los deudores solidarios y, en general, a cualquier persona natural o jurídica que resulte o pueda resultar directa o indirectamente obligada al pago de los créditos.</w:t>
      </w:r>
    </w:p>
    <w:p w14:paraId="47AB337B" w14:textId="750ADAA7" w:rsidR="00443A04" w:rsidRPr="00443A04" w:rsidRDefault="009F5C59" w:rsidP="00766CA6">
      <w:pPr>
        <w:spacing w:after="0"/>
        <w:jc w:val="both"/>
        <w:rPr>
          <w:rFonts w:ascii="Verdana" w:hAnsi="Verdana"/>
          <w:sz w:val="20"/>
          <w:szCs w:val="20"/>
        </w:rPr>
      </w:pPr>
      <w:r>
        <w:rPr>
          <w:rFonts w:ascii="Verdana" w:hAnsi="Verdana"/>
          <w:sz w:val="20"/>
          <w:szCs w:val="20"/>
        </w:rPr>
        <w:t>1.1.</w:t>
      </w:r>
      <w:r w:rsidR="00A43430">
        <w:rPr>
          <w:rFonts w:ascii="Verdana" w:hAnsi="Verdana"/>
          <w:sz w:val="20"/>
          <w:szCs w:val="20"/>
        </w:rPr>
        <w:t>2</w:t>
      </w:r>
      <w:r>
        <w:rPr>
          <w:rFonts w:ascii="Verdana" w:hAnsi="Verdana"/>
          <w:sz w:val="20"/>
          <w:szCs w:val="20"/>
        </w:rPr>
        <w:t>.6.</w:t>
      </w:r>
    </w:p>
    <w:p w14:paraId="576F5196" w14:textId="094734A5" w:rsidR="00D64198" w:rsidRDefault="00C53365" w:rsidP="00766CA6">
      <w:pPr>
        <w:jc w:val="both"/>
        <w:rPr>
          <w:rFonts w:ascii="Verdana" w:hAnsi="Verdana"/>
          <w:sz w:val="20"/>
          <w:szCs w:val="20"/>
        </w:rPr>
      </w:pPr>
      <w:r w:rsidRPr="00C53365">
        <w:rPr>
          <w:rFonts w:ascii="Verdana" w:hAnsi="Verdana"/>
          <w:sz w:val="20"/>
          <w:szCs w:val="20"/>
        </w:rPr>
        <w:t xml:space="preserve">Las referencias que se hagan en el presente </w:t>
      </w:r>
      <w:r w:rsidR="00BF0AFA">
        <w:rPr>
          <w:rFonts w:ascii="Verdana" w:hAnsi="Verdana"/>
          <w:sz w:val="20"/>
          <w:szCs w:val="20"/>
        </w:rPr>
        <w:t xml:space="preserve">capítulo </w:t>
      </w:r>
      <w:r w:rsidRPr="00C53365">
        <w:rPr>
          <w:rFonts w:ascii="Verdana" w:hAnsi="Verdana"/>
          <w:sz w:val="20"/>
          <w:szCs w:val="20"/>
        </w:rPr>
        <w:t xml:space="preserve">a </w:t>
      </w:r>
      <w:r w:rsidR="00B532B9">
        <w:rPr>
          <w:rFonts w:ascii="Verdana" w:hAnsi="Verdana"/>
          <w:sz w:val="20"/>
          <w:szCs w:val="20"/>
        </w:rPr>
        <w:t xml:space="preserve">los </w:t>
      </w:r>
      <w:r w:rsidRPr="00C53365">
        <w:rPr>
          <w:rFonts w:ascii="Verdana" w:hAnsi="Verdana"/>
          <w:sz w:val="20"/>
          <w:szCs w:val="20"/>
        </w:rPr>
        <w:t>contratos de crédito, operaciones activas de crédito, activos de crédito, crédito, cartera de créditos u operaciones, incluye igualmente a los contratos de financiamiento, de leasing, factoring, garantías otorgadas, compromisos en firme de financiación y cupos contingentes, entre otros.</w:t>
      </w:r>
    </w:p>
    <w:p w14:paraId="6499CC1E" w14:textId="14A6DF1E" w:rsidR="00D64198" w:rsidRPr="00A6029C" w:rsidRDefault="00C53365" w:rsidP="00766CA6">
      <w:pPr>
        <w:jc w:val="both"/>
        <w:rPr>
          <w:rFonts w:ascii="Verdana" w:hAnsi="Verdana"/>
          <w:b/>
          <w:bCs/>
          <w:sz w:val="20"/>
          <w:szCs w:val="20"/>
        </w:rPr>
      </w:pPr>
      <w:r>
        <w:rPr>
          <w:rFonts w:ascii="Verdana" w:hAnsi="Verdana"/>
          <w:b/>
          <w:bCs/>
          <w:sz w:val="20"/>
          <w:szCs w:val="20"/>
        </w:rPr>
        <w:t>Ámbito de aplicación</w:t>
      </w:r>
    </w:p>
    <w:p w14:paraId="7B3898ED" w14:textId="2AAFFC51" w:rsidR="00D64198" w:rsidRPr="00443A04" w:rsidRDefault="00D64198" w:rsidP="00766CA6">
      <w:pPr>
        <w:spacing w:after="0"/>
        <w:jc w:val="both"/>
        <w:rPr>
          <w:rFonts w:ascii="Verdana" w:hAnsi="Verdana"/>
          <w:sz w:val="20"/>
          <w:szCs w:val="20"/>
        </w:rPr>
      </w:pPr>
      <w:r>
        <w:rPr>
          <w:rFonts w:ascii="Verdana" w:hAnsi="Verdana"/>
          <w:sz w:val="20"/>
          <w:szCs w:val="20"/>
        </w:rPr>
        <w:t>1.1.</w:t>
      </w:r>
      <w:r w:rsidR="00A43430">
        <w:rPr>
          <w:rFonts w:ascii="Verdana" w:hAnsi="Verdana"/>
          <w:sz w:val="20"/>
          <w:szCs w:val="20"/>
        </w:rPr>
        <w:t>2</w:t>
      </w:r>
      <w:r>
        <w:rPr>
          <w:rFonts w:ascii="Verdana" w:hAnsi="Verdana"/>
          <w:sz w:val="20"/>
          <w:szCs w:val="20"/>
        </w:rPr>
        <w:t>.7.</w:t>
      </w:r>
    </w:p>
    <w:p w14:paraId="49858FEB" w14:textId="7206D6F4" w:rsidR="00443A04" w:rsidRDefault="002428BE" w:rsidP="00766CA6">
      <w:pPr>
        <w:jc w:val="both"/>
        <w:rPr>
          <w:rFonts w:ascii="Verdana" w:hAnsi="Verdana"/>
          <w:sz w:val="20"/>
          <w:szCs w:val="20"/>
        </w:rPr>
      </w:pPr>
      <w:r w:rsidRPr="002428BE">
        <w:rPr>
          <w:rFonts w:ascii="Verdana" w:hAnsi="Verdana"/>
          <w:sz w:val="20"/>
          <w:szCs w:val="20"/>
        </w:rPr>
        <w:t xml:space="preserve">Las entidades obligadas a cumplir con las instrucciones </w:t>
      </w:r>
      <w:r>
        <w:rPr>
          <w:rFonts w:ascii="Verdana" w:hAnsi="Verdana"/>
          <w:sz w:val="20"/>
          <w:szCs w:val="20"/>
        </w:rPr>
        <w:t>relacionadas con la gestión del riesgo de crédito</w:t>
      </w:r>
      <w:r w:rsidRPr="002428BE">
        <w:rPr>
          <w:rFonts w:ascii="Verdana" w:hAnsi="Verdana"/>
          <w:sz w:val="20"/>
          <w:szCs w:val="20"/>
        </w:rPr>
        <w:t xml:space="preserve"> son:</w:t>
      </w:r>
    </w:p>
    <w:p w14:paraId="23E4690F" w14:textId="77777777" w:rsidR="00710DDE" w:rsidRDefault="00935BD9" w:rsidP="00766CA6">
      <w:pPr>
        <w:pStyle w:val="Prrafodelista"/>
        <w:numPr>
          <w:ilvl w:val="0"/>
          <w:numId w:val="1"/>
        </w:numPr>
        <w:ind w:left="567" w:hanging="567"/>
        <w:jc w:val="both"/>
        <w:rPr>
          <w:rFonts w:ascii="Verdana" w:hAnsi="Verdana"/>
          <w:sz w:val="20"/>
          <w:szCs w:val="20"/>
        </w:rPr>
      </w:pPr>
      <w:r w:rsidRPr="00935BD9">
        <w:rPr>
          <w:rFonts w:ascii="Verdana" w:hAnsi="Verdana"/>
          <w:sz w:val="20"/>
          <w:szCs w:val="20"/>
        </w:rPr>
        <w:t>Los establecimientos de crédito (EC), los organismos cooperativos de grado superior y las demás entidades vigiladas por la SFC que dentro de su objeto social principal estén autorizadas para otorgar crédito y/o realizar operaciones de redescuento.</w:t>
      </w:r>
    </w:p>
    <w:p w14:paraId="4FBEA140" w14:textId="77777777" w:rsidR="00710DDE" w:rsidRDefault="00710DDE" w:rsidP="00766CA6">
      <w:pPr>
        <w:pStyle w:val="Prrafodelista"/>
        <w:ind w:left="567"/>
        <w:jc w:val="both"/>
        <w:rPr>
          <w:rFonts w:ascii="Verdana" w:hAnsi="Verdana"/>
          <w:sz w:val="20"/>
          <w:szCs w:val="20"/>
        </w:rPr>
      </w:pPr>
    </w:p>
    <w:p w14:paraId="13320496" w14:textId="6B5CE265" w:rsidR="008E4DC0" w:rsidRPr="00704A27" w:rsidRDefault="00710DDE" w:rsidP="00CE7C21">
      <w:pPr>
        <w:pStyle w:val="Prrafodelista"/>
        <w:numPr>
          <w:ilvl w:val="0"/>
          <w:numId w:val="1"/>
        </w:numPr>
        <w:ind w:left="567" w:hanging="567"/>
        <w:jc w:val="both"/>
        <w:rPr>
          <w:rFonts w:ascii="Verdana" w:hAnsi="Verdana"/>
          <w:sz w:val="20"/>
          <w:szCs w:val="20"/>
        </w:rPr>
      </w:pPr>
      <w:r w:rsidRPr="00CE7C21">
        <w:rPr>
          <w:rFonts w:ascii="Verdana" w:hAnsi="Verdana"/>
          <w:sz w:val="20"/>
          <w:szCs w:val="20"/>
          <w:lang w:val="es-ES"/>
        </w:rPr>
        <w:t>Las entidades aseguradoras (EA) y sociedades de capitalización</w:t>
      </w:r>
      <w:r w:rsidR="008E4DC0">
        <w:rPr>
          <w:rFonts w:ascii="Verdana" w:hAnsi="Verdana"/>
          <w:sz w:val="20"/>
          <w:szCs w:val="20"/>
          <w:lang w:val="es-ES"/>
        </w:rPr>
        <w:t>,</w:t>
      </w:r>
      <w:r w:rsidRPr="00CE7C21" w:rsidDel="008E4DC0">
        <w:rPr>
          <w:rFonts w:ascii="Verdana" w:hAnsi="Verdana"/>
          <w:sz w:val="20"/>
          <w:szCs w:val="20"/>
          <w:lang w:val="es-ES"/>
        </w:rPr>
        <w:t xml:space="preserve"> </w:t>
      </w:r>
      <w:r w:rsidRPr="00CE7C21">
        <w:rPr>
          <w:rFonts w:ascii="Verdana" w:hAnsi="Verdana"/>
          <w:sz w:val="20"/>
          <w:szCs w:val="20"/>
          <w:lang w:val="es-ES"/>
        </w:rPr>
        <w:t>sobre las operaciones que generen riesgo de crédito</w:t>
      </w:r>
      <w:r w:rsidR="00CE7C21">
        <w:rPr>
          <w:rFonts w:ascii="Verdana" w:hAnsi="Verdana"/>
          <w:sz w:val="20"/>
          <w:szCs w:val="20"/>
          <w:lang w:val="es-ES"/>
        </w:rPr>
        <w:t>.</w:t>
      </w:r>
    </w:p>
    <w:p w14:paraId="00E6B155" w14:textId="77777777" w:rsidR="008E4DC0" w:rsidRPr="00704A27" w:rsidRDefault="008E4DC0" w:rsidP="00704A27">
      <w:pPr>
        <w:pStyle w:val="Prrafodelista"/>
        <w:rPr>
          <w:rFonts w:ascii="Verdana" w:hAnsi="Verdana"/>
          <w:sz w:val="20"/>
          <w:szCs w:val="20"/>
          <w:lang w:val="es-ES"/>
        </w:rPr>
      </w:pPr>
    </w:p>
    <w:p w14:paraId="4863D0B7" w14:textId="0FDF7D63" w:rsidR="00710DDE" w:rsidRPr="00AA2A79" w:rsidRDefault="00710DDE" w:rsidP="00766CA6">
      <w:pPr>
        <w:pStyle w:val="Prrafodelista"/>
        <w:numPr>
          <w:ilvl w:val="0"/>
          <w:numId w:val="1"/>
        </w:numPr>
        <w:ind w:left="567" w:hanging="567"/>
        <w:jc w:val="both"/>
        <w:rPr>
          <w:rFonts w:ascii="Verdana" w:hAnsi="Verdana"/>
          <w:sz w:val="20"/>
          <w:szCs w:val="20"/>
        </w:rPr>
      </w:pPr>
      <w:r w:rsidRPr="00710DDE">
        <w:rPr>
          <w:rFonts w:ascii="Verdana" w:hAnsi="Verdana"/>
          <w:sz w:val="20"/>
          <w:szCs w:val="20"/>
          <w:lang w:val="es-ES"/>
        </w:rPr>
        <w:t>Cuando quiera que una sociedad fiduciaria reciba cartera de créditos a través de encargos fiduciarios o las administre a través de patrimonios autónomos, debe gestionar el riesgo de crédito atendiendo las instrucciones aquí señaladas, salvo que para el caso de la cartera de crédito</w:t>
      </w:r>
      <w:r w:rsidR="007F024D">
        <w:rPr>
          <w:rFonts w:ascii="Verdana" w:hAnsi="Verdana"/>
          <w:sz w:val="20"/>
          <w:szCs w:val="20"/>
          <w:lang w:val="es-ES"/>
        </w:rPr>
        <w:t>s</w:t>
      </w:r>
      <w:r w:rsidRPr="00710DDE">
        <w:rPr>
          <w:rFonts w:ascii="Verdana" w:hAnsi="Verdana"/>
          <w:sz w:val="20"/>
          <w:szCs w:val="20"/>
          <w:lang w:val="es-ES"/>
        </w:rPr>
        <w:t xml:space="preserve"> no originada en el sistema financiero, el fideicomitente, de manera inequívoca, imparta instrucción expresa sobre los elementos de gestión y medición que consideran deben aplicarse al fideicomiso.</w:t>
      </w:r>
      <w:r w:rsidR="00AA2A79">
        <w:rPr>
          <w:rFonts w:ascii="Verdana" w:hAnsi="Verdana"/>
          <w:sz w:val="20"/>
          <w:szCs w:val="20"/>
          <w:lang w:val="es-ES"/>
        </w:rPr>
        <w:t xml:space="preserve"> </w:t>
      </w:r>
      <w:r w:rsidRPr="00AA2A79">
        <w:rPr>
          <w:rFonts w:ascii="Verdana" w:hAnsi="Verdana"/>
          <w:sz w:val="20"/>
          <w:szCs w:val="20"/>
          <w:lang w:val="es-ES"/>
        </w:rPr>
        <w:t xml:space="preserve">En el caso en que el fideicomitente sea un EC, </w:t>
      </w:r>
      <w:r w:rsidR="00876831">
        <w:rPr>
          <w:rFonts w:ascii="Verdana" w:hAnsi="Verdana"/>
          <w:sz w:val="20"/>
          <w:szCs w:val="20"/>
          <w:lang w:val="es-ES"/>
        </w:rPr>
        <w:t xml:space="preserve">la fiduciaria </w:t>
      </w:r>
      <w:r w:rsidRPr="00AA2A79">
        <w:rPr>
          <w:rFonts w:ascii="Verdana" w:hAnsi="Verdana"/>
          <w:sz w:val="20"/>
          <w:szCs w:val="20"/>
          <w:lang w:val="es-ES"/>
        </w:rPr>
        <w:t>debe gestionar y medir el riesgo de crédito de dicha cartera aplicando la gestión de riesgo que deben implementar los EC. Dicha gestión y medición puede realizarla el mismo EC o la sociedad fiduciaria, si esta última se pacta expresamente en el respectivo contrato.</w:t>
      </w:r>
    </w:p>
    <w:p w14:paraId="0F35CA63" w14:textId="50930478" w:rsidR="00443A04" w:rsidRPr="007735FE" w:rsidRDefault="000F3D16" w:rsidP="00766CA6">
      <w:pPr>
        <w:jc w:val="both"/>
        <w:rPr>
          <w:rFonts w:ascii="Verdana" w:hAnsi="Verdana"/>
          <w:b/>
          <w:bCs/>
          <w:sz w:val="20"/>
          <w:szCs w:val="20"/>
        </w:rPr>
      </w:pPr>
      <w:r w:rsidRPr="000F3D16">
        <w:rPr>
          <w:rFonts w:ascii="Verdana" w:hAnsi="Verdana"/>
          <w:b/>
          <w:bCs/>
          <w:sz w:val="20"/>
          <w:szCs w:val="20"/>
        </w:rPr>
        <w:t>Excepciones</w:t>
      </w:r>
    </w:p>
    <w:p w14:paraId="7057F484" w14:textId="1A1213FF" w:rsidR="007735FE" w:rsidRPr="00443A04" w:rsidRDefault="007735FE" w:rsidP="00766CA6">
      <w:pPr>
        <w:spacing w:after="0"/>
        <w:jc w:val="both"/>
        <w:rPr>
          <w:rFonts w:ascii="Verdana" w:hAnsi="Verdana"/>
          <w:sz w:val="20"/>
          <w:szCs w:val="20"/>
        </w:rPr>
      </w:pPr>
      <w:r>
        <w:rPr>
          <w:rFonts w:ascii="Verdana" w:hAnsi="Verdana"/>
          <w:sz w:val="20"/>
          <w:szCs w:val="20"/>
        </w:rPr>
        <w:t>1.1.</w:t>
      </w:r>
      <w:r w:rsidR="00A43430">
        <w:rPr>
          <w:rFonts w:ascii="Verdana" w:hAnsi="Verdana"/>
          <w:sz w:val="20"/>
          <w:szCs w:val="20"/>
        </w:rPr>
        <w:t>2</w:t>
      </w:r>
      <w:r>
        <w:rPr>
          <w:rFonts w:ascii="Verdana" w:hAnsi="Verdana"/>
          <w:sz w:val="20"/>
          <w:szCs w:val="20"/>
        </w:rPr>
        <w:t>.8.</w:t>
      </w:r>
    </w:p>
    <w:p w14:paraId="68AF75C3" w14:textId="24570E59" w:rsidR="00443A04" w:rsidRPr="00443A04" w:rsidRDefault="004B63B1" w:rsidP="00766CA6">
      <w:pPr>
        <w:jc w:val="both"/>
        <w:rPr>
          <w:rFonts w:ascii="Verdana" w:hAnsi="Verdana"/>
          <w:sz w:val="20"/>
          <w:szCs w:val="20"/>
        </w:rPr>
      </w:pPr>
      <w:r w:rsidRPr="004B63B1">
        <w:rPr>
          <w:rFonts w:ascii="Verdana" w:hAnsi="Verdana"/>
          <w:sz w:val="20"/>
          <w:szCs w:val="20"/>
        </w:rPr>
        <w:t xml:space="preserve">No están obligadas a adoptar las instrucciones </w:t>
      </w:r>
      <w:r w:rsidR="00294ACF">
        <w:rPr>
          <w:rFonts w:ascii="Verdana" w:hAnsi="Verdana"/>
          <w:sz w:val="20"/>
          <w:szCs w:val="20"/>
        </w:rPr>
        <w:t>relacionadas con la gestión del riesgo de crédito</w:t>
      </w:r>
      <w:r w:rsidRPr="004B63B1">
        <w:rPr>
          <w:rFonts w:ascii="Verdana" w:hAnsi="Verdana"/>
          <w:sz w:val="20"/>
          <w:szCs w:val="20"/>
        </w:rPr>
        <w:t>:</w:t>
      </w:r>
    </w:p>
    <w:p w14:paraId="4AEEB51A" w14:textId="77777777" w:rsidR="00706B2B" w:rsidRDefault="00294ACF" w:rsidP="00766CA6">
      <w:pPr>
        <w:pStyle w:val="Prrafodelista"/>
        <w:numPr>
          <w:ilvl w:val="0"/>
          <w:numId w:val="3"/>
        </w:numPr>
        <w:spacing w:after="0"/>
        <w:ind w:left="567" w:hanging="567"/>
        <w:jc w:val="both"/>
        <w:rPr>
          <w:rFonts w:ascii="Verdana" w:hAnsi="Verdana"/>
          <w:sz w:val="20"/>
          <w:szCs w:val="20"/>
        </w:rPr>
      </w:pPr>
      <w:r>
        <w:rPr>
          <w:rFonts w:ascii="Verdana" w:hAnsi="Verdana"/>
          <w:sz w:val="20"/>
          <w:szCs w:val="20"/>
        </w:rPr>
        <w:t>L</w:t>
      </w:r>
      <w:r w:rsidRPr="00294ACF">
        <w:rPr>
          <w:rFonts w:ascii="Verdana" w:hAnsi="Verdana"/>
          <w:sz w:val="20"/>
          <w:szCs w:val="20"/>
        </w:rPr>
        <w:t>as sociedades de intermediación cambiaria y servicios financieros, almacenes generales de depósito, fondos ganaderos, sociedades administradoras de fondos de pensiones y de cesantía, cajas y fondos o entidades de seguridad social administradoras del régimen solidario de prima media con prestación definida, y los intermediarios de seguros y de reaseguros.</w:t>
      </w:r>
    </w:p>
    <w:p w14:paraId="07FEC8EC" w14:textId="77777777" w:rsidR="00706B2B" w:rsidRDefault="00706B2B" w:rsidP="00766CA6">
      <w:pPr>
        <w:pStyle w:val="Prrafodelista"/>
        <w:spacing w:after="0"/>
        <w:ind w:left="567"/>
        <w:jc w:val="both"/>
        <w:rPr>
          <w:rFonts w:ascii="Verdana" w:hAnsi="Verdana"/>
          <w:sz w:val="20"/>
          <w:szCs w:val="20"/>
        </w:rPr>
      </w:pPr>
    </w:p>
    <w:p w14:paraId="2974DF67" w14:textId="77777777" w:rsidR="00706B2B" w:rsidRDefault="00294ACF" w:rsidP="00766CA6">
      <w:pPr>
        <w:pStyle w:val="Prrafodelista"/>
        <w:numPr>
          <w:ilvl w:val="0"/>
          <w:numId w:val="3"/>
        </w:numPr>
        <w:spacing w:after="0"/>
        <w:ind w:left="567" w:hanging="567"/>
        <w:jc w:val="both"/>
        <w:rPr>
          <w:rFonts w:ascii="Verdana" w:hAnsi="Verdana"/>
          <w:sz w:val="20"/>
          <w:szCs w:val="20"/>
        </w:rPr>
      </w:pPr>
      <w:r w:rsidRPr="00706B2B">
        <w:rPr>
          <w:rFonts w:ascii="Verdana" w:hAnsi="Verdana"/>
          <w:sz w:val="20"/>
          <w:szCs w:val="20"/>
        </w:rPr>
        <w:t>Las entidades financieras autorizadas para ofrecer cuentas de ahorro y/o cuentas respecto de los recursos de las cuentas abandonadas que sean trasladados a título de mutuo a favor del Fondo Especial administrado por el ICETEX, en virtud de lo establecido en la Ley 1777 de 2016, el Decreto 2555 de 2010 y las demás disposiciones aplicables.</w:t>
      </w:r>
    </w:p>
    <w:p w14:paraId="03AB30FD" w14:textId="77777777" w:rsidR="00706B2B" w:rsidRPr="00706B2B" w:rsidRDefault="00706B2B" w:rsidP="00766CA6">
      <w:pPr>
        <w:pStyle w:val="Prrafodelista"/>
        <w:jc w:val="both"/>
        <w:rPr>
          <w:rFonts w:ascii="Verdana" w:hAnsi="Verdana"/>
          <w:sz w:val="20"/>
          <w:szCs w:val="20"/>
        </w:rPr>
      </w:pPr>
    </w:p>
    <w:p w14:paraId="4C9C975E" w14:textId="1A516CC7" w:rsidR="00BC4A08" w:rsidRPr="00657E0A" w:rsidRDefault="00294ACF" w:rsidP="00766CA6">
      <w:pPr>
        <w:pStyle w:val="Prrafodelista"/>
        <w:numPr>
          <w:ilvl w:val="0"/>
          <w:numId w:val="3"/>
        </w:numPr>
        <w:spacing w:after="0"/>
        <w:ind w:left="567" w:hanging="567"/>
        <w:jc w:val="both"/>
        <w:rPr>
          <w:rFonts w:ascii="Verdana" w:hAnsi="Verdana"/>
          <w:sz w:val="20"/>
          <w:szCs w:val="20"/>
        </w:rPr>
      </w:pPr>
      <w:r w:rsidRPr="00706B2B">
        <w:rPr>
          <w:rFonts w:ascii="Verdana" w:hAnsi="Verdana"/>
          <w:sz w:val="20"/>
          <w:szCs w:val="20"/>
        </w:rPr>
        <w:t>Las SEDPE</w:t>
      </w:r>
      <w:r w:rsidR="00706B2B">
        <w:rPr>
          <w:rFonts w:ascii="Verdana" w:hAnsi="Verdana"/>
          <w:sz w:val="20"/>
          <w:szCs w:val="20"/>
        </w:rPr>
        <w:t>S</w:t>
      </w:r>
      <w:r w:rsidRPr="00706B2B">
        <w:rPr>
          <w:rFonts w:ascii="Verdana" w:hAnsi="Verdana"/>
          <w:sz w:val="20"/>
          <w:szCs w:val="20"/>
        </w:rPr>
        <w:t>, l</w:t>
      </w:r>
      <w:r w:rsidR="00706B2B">
        <w:rPr>
          <w:rFonts w:ascii="Verdana" w:hAnsi="Verdana"/>
          <w:sz w:val="20"/>
          <w:szCs w:val="20"/>
        </w:rPr>
        <w:t>os</w:t>
      </w:r>
      <w:r w:rsidRPr="00706B2B">
        <w:rPr>
          <w:rFonts w:ascii="Verdana" w:hAnsi="Verdana"/>
          <w:sz w:val="20"/>
          <w:szCs w:val="20"/>
        </w:rPr>
        <w:t xml:space="preserve"> INFI y </w:t>
      </w:r>
      <w:r w:rsidR="00706B2B">
        <w:rPr>
          <w:rFonts w:ascii="Verdana" w:hAnsi="Verdana"/>
          <w:sz w:val="20"/>
          <w:szCs w:val="20"/>
        </w:rPr>
        <w:t xml:space="preserve">las </w:t>
      </w:r>
      <w:r w:rsidRPr="00706B2B">
        <w:rPr>
          <w:rFonts w:ascii="Verdana" w:hAnsi="Verdana"/>
          <w:sz w:val="20"/>
          <w:szCs w:val="20"/>
        </w:rPr>
        <w:t>demás entidades con régimen especial para la gestión de riesgos</w:t>
      </w:r>
      <w:r w:rsidR="00BC4A08" w:rsidRPr="00BC4A08">
        <w:rPr>
          <w:rFonts w:ascii="Verdana" w:hAnsi="Verdana"/>
          <w:sz w:val="20"/>
          <w:szCs w:val="20"/>
          <w:lang w:val="es-ES"/>
        </w:rPr>
        <w:t>.</w:t>
      </w:r>
    </w:p>
    <w:p w14:paraId="51D35EA4" w14:textId="77777777" w:rsidR="00704A27" w:rsidRPr="00554F01" w:rsidRDefault="00704A27" w:rsidP="00554F01">
      <w:pPr>
        <w:pStyle w:val="Prrafodelista"/>
        <w:rPr>
          <w:rFonts w:ascii="Verdana" w:hAnsi="Verdana"/>
          <w:sz w:val="20"/>
          <w:szCs w:val="20"/>
        </w:rPr>
      </w:pPr>
    </w:p>
    <w:p w14:paraId="58D3804C" w14:textId="47CC89F7" w:rsidR="00756547" w:rsidRPr="00BC4A08" w:rsidRDefault="00BC4A08" w:rsidP="00766CA6">
      <w:pPr>
        <w:jc w:val="both"/>
        <w:rPr>
          <w:rFonts w:ascii="Verdana" w:hAnsi="Verdana"/>
          <w:b/>
          <w:bCs/>
          <w:sz w:val="20"/>
          <w:szCs w:val="20"/>
        </w:rPr>
      </w:pPr>
      <w:r>
        <w:rPr>
          <w:rFonts w:ascii="Verdana" w:hAnsi="Verdana"/>
          <w:b/>
          <w:bCs/>
          <w:sz w:val="20"/>
          <w:szCs w:val="20"/>
        </w:rPr>
        <w:lastRenderedPageBreak/>
        <w:t>Componentes</w:t>
      </w:r>
    </w:p>
    <w:p w14:paraId="3B5DEF25" w14:textId="1A736AC3" w:rsidR="003E3995" w:rsidRPr="00443A04" w:rsidRDefault="003E3995" w:rsidP="00766CA6">
      <w:pPr>
        <w:spacing w:after="0"/>
        <w:jc w:val="both"/>
        <w:rPr>
          <w:rFonts w:ascii="Verdana" w:hAnsi="Verdana"/>
          <w:sz w:val="20"/>
          <w:szCs w:val="20"/>
        </w:rPr>
      </w:pPr>
      <w:r>
        <w:rPr>
          <w:rFonts w:ascii="Verdana" w:hAnsi="Verdana"/>
          <w:sz w:val="20"/>
          <w:szCs w:val="20"/>
        </w:rPr>
        <w:t>1.1.2.</w:t>
      </w:r>
      <w:r w:rsidR="00C65467">
        <w:rPr>
          <w:rFonts w:ascii="Verdana" w:hAnsi="Verdana"/>
          <w:sz w:val="20"/>
          <w:szCs w:val="20"/>
        </w:rPr>
        <w:t>9</w:t>
      </w:r>
      <w:r>
        <w:rPr>
          <w:rFonts w:ascii="Verdana" w:hAnsi="Verdana"/>
          <w:sz w:val="20"/>
          <w:szCs w:val="20"/>
        </w:rPr>
        <w:t>.</w:t>
      </w:r>
    </w:p>
    <w:p w14:paraId="2929FFF0" w14:textId="4070FEDC" w:rsidR="00942F54" w:rsidRPr="0051075E" w:rsidRDefault="0051075E" w:rsidP="00766CA6">
      <w:pPr>
        <w:jc w:val="both"/>
        <w:rPr>
          <w:rFonts w:ascii="Verdana" w:hAnsi="Verdana"/>
          <w:sz w:val="20"/>
          <w:szCs w:val="20"/>
          <w:lang w:val="es-ES"/>
        </w:rPr>
      </w:pPr>
      <w:r w:rsidRPr="0051075E">
        <w:rPr>
          <w:rFonts w:ascii="Verdana" w:hAnsi="Verdana"/>
          <w:sz w:val="20"/>
          <w:szCs w:val="20"/>
        </w:rPr>
        <w:t>La entidad debe contar con una adecuada gestión del riesgo de crédito que le permita identificar, medir, controlar y monitorear del riesgo de crédito implícito en los activos. Para la cartera de crédito</w:t>
      </w:r>
      <w:r w:rsidR="00C77E3A">
        <w:rPr>
          <w:rFonts w:ascii="Verdana" w:hAnsi="Verdana"/>
          <w:sz w:val="20"/>
          <w:szCs w:val="20"/>
        </w:rPr>
        <w:t>s</w:t>
      </w:r>
      <w:r w:rsidRPr="0051075E">
        <w:rPr>
          <w:rFonts w:ascii="Verdana" w:hAnsi="Verdana"/>
          <w:sz w:val="20"/>
          <w:szCs w:val="20"/>
        </w:rPr>
        <w:t xml:space="preserve"> este proceso debe ser continuo e incluir el ciclo de vida del crédito, para lo cual deben existir políticas, procedimientos, umbrales, límites, controles, metodologías, modelos, alertas tempranas y sistemas de información para su instrumentación.</w:t>
      </w:r>
    </w:p>
    <w:p w14:paraId="4B4C7321" w14:textId="37D3CE3D" w:rsidR="00942F54" w:rsidRPr="00443A04" w:rsidRDefault="00942F54" w:rsidP="00766CA6">
      <w:pPr>
        <w:spacing w:after="0"/>
        <w:jc w:val="both"/>
        <w:rPr>
          <w:rFonts w:ascii="Verdana" w:hAnsi="Verdana"/>
          <w:sz w:val="20"/>
          <w:szCs w:val="20"/>
        </w:rPr>
      </w:pPr>
      <w:r>
        <w:rPr>
          <w:rFonts w:ascii="Verdana" w:hAnsi="Verdana"/>
          <w:sz w:val="20"/>
          <w:szCs w:val="20"/>
        </w:rPr>
        <w:t>1.1.</w:t>
      </w:r>
      <w:r w:rsidR="00A43430">
        <w:rPr>
          <w:rFonts w:ascii="Verdana" w:hAnsi="Verdana"/>
          <w:sz w:val="20"/>
          <w:szCs w:val="20"/>
        </w:rPr>
        <w:t>2</w:t>
      </w:r>
      <w:r>
        <w:rPr>
          <w:rFonts w:ascii="Verdana" w:hAnsi="Verdana"/>
          <w:sz w:val="20"/>
          <w:szCs w:val="20"/>
        </w:rPr>
        <w:t>.10.</w:t>
      </w:r>
    </w:p>
    <w:p w14:paraId="2A80ADC1" w14:textId="6EB0C843" w:rsidR="00942F54" w:rsidRPr="005D0881" w:rsidRDefault="005D0881" w:rsidP="00766CA6">
      <w:pPr>
        <w:jc w:val="both"/>
        <w:rPr>
          <w:rFonts w:ascii="Verdana" w:hAnsi="Verdana"/>
          <w:sz w:val="20"/>
          <w:szCs w:val="20"/>
          <w:lang w:val="es-ES"/>
        </w:rPr>
      </w:pPr>
      <w:r w:rsidRPr="005D0881">
        <w:rPr>
          <w:rFonts w:ascii="Verdana" w:hAnsi="Verdana"/>
          <w:sz w:val="20"/>
          <w:szCs w:val="20"/>
        </w:rPr>
        <w:t>En adición a las políticas que resulten aplicables para el riesgo de crédito</w:t>
      </w:r>
      <w:r w:rsidRPr="005D0881" w:rsidDel="00F213EB">
        <w:rPr>
          <w:rFonts w:ascii="Verdana" w:hAnsi="Verdana"/>
          <w:sz w:val="20"/>
          <w:szCs w:val="20"/>
        </w:rPr>
        <w:t xml:space="preserve">, </w:t>
      </w:r>
      <w:r w:rsidRPr="005D0881">
        <w:rPr>
          <w:rFonts w:ascii="Verdana" w:hAnsi="Verdana"/>
          <w:sz w:val="20"/>
          <w:szCs w:val="20"/>
        </w:rPr>
        <w:t>la entidad debe contar con políticas y procedimientos relacionadas con bases de datos, la definición y monitoreo del otorgamiento, seguimiento y control del riesgo de crédito, constitución de provisiones, compra</w:t>
      </w:r>
      <w:r w:rsidR="00F213EB">
        <w:rPr>
          <w:rFonts w:ascii="Verdana" w:hAnsi="Verdana"/>
          <w:sz w:val="20"/>
          <w:szCs w:val="20"/>
        </w:rPr>
        <w:t>s</w:t>
      </w:r>
      <w:r w:rsidRPr="005D0881">
        <w:rPr>
          <w:rFonts w:ascii="Verdana" w:hAnsi="Verdana"/>
          <w:sz w:val="20"/>
          <w:szCs w:val="20"/>
        </w:rPr>
        <w:t xml:space="preserve"> de cartera, recuperación de cartera</w:t>
      </w:r>
      <w:r w:rsidR="00F213EB">
        <w:rPr>
          <w:rFonts w:ascii="Verdana" w:hAnsi="Verdana"/>
          <w:sz w:val="20"/>
          <w:szCs w:val="20"/>
        </w:rPr>
        <w:t>, modificación</w:t>
      </w:r>
      <w:r w:rsidRPr="005D0881">
        <w:rPr>
          <w:rFonts w:ascii="Verdana" w:hAnsi="Verdana"/>
          <w:sz w:val="20"/>
          <w:szCs w:val="20"/>
        </w:rPr>
        <w:t xml:space="preserve"> y reestructuración de crédito. Para los</w:t>
      </w:r>
      <w:r w:rsidRPr="005D0881" w:rsidDel="00AC547A">
        <w:rPr>
          <w:rFonts w:ascii="Verdana" w:hAnsi="Verdana"/>
          <w:sz w:val="20"/>
          <w:szCs w:val="20"/>
        </w:rPr>
        <w:t xml:space="preserve"> </w:t>
      </w:r>
      <w:r w:rsidRPr="005D0881">
        <w:rPr>
          <w:rFonts w:ascii="Verdana" w:hAnsi="Verdana"/>
          <w:sz w:val="20"/>
          <w:szCs w:val="20"/>
        </w:rPr>
        <w:t>últimos</w:t>
      </w:r>
      <w:r w:rsidR="009758FA">
        <w:rPr>
          <w:rFonts w:ascii="Verdana" w:hAnsi="Verdana"/>
          <w:sz w:val="20"/>
          <w:szCs w:val="20"/>
        </w:rPr>
        <w:t xml:space="preserve"> </w:t>
      </w:r>
      <w:r w:rsidR="0024143B">
        <w:rPr>
          <w:rFonts w:ascii="Verdana" w:hAnsi="Verdana"/>
          <w:sz w:val="20"/>
          <w:szCs w:val="20"/>
        </w:rPr>
        <w:t>temas señalados se deben</w:t>
      </w:r>
      <w:r w:rsidRPr="005D0881">
        <w:rPr>
          <w:rFonts w:ascii="Verdana" w:hAnsi="Verdana"/>
          <w:sz w:val="20"/>
          <w:szCs w:val="20"/>
        </w:rPr>
        <w:t xml:space="preserve"> tener en cuenta las instrucciones </w:t>
      </w:r>
      <w:r w:rsidR="009569E4">
        <w:rPr>
          <w:rFonts w:ascii="Verdana" w:hAnsi="Verdana"/>
          <w:sz w:val="20"/>
          <w:szCs w:val="20"/>
        </w:rPr>
        <w:t xml:space="preserve">previstas </w:t>
      </w:r>
      <w:r w:rsidRPr="005D0881">
        <w:rPr>
          <w:rFonts w:ascii="Verdana" w:hAnsi="Verdana"/>
          <w:sz w:val="20"/>
          <w:szCs w:val="20"/>
        </w:rPr>
        <w:t>en</w:t>
      </w:r>
      <w:r w:rsidR="00CD55E6">
        <w:rPr>
          <w:rFonts w:ascii="Verdana" w:hAnsi="Verdana"/>
          <w:sz w:val="20"/>
          <w:szCs w:val="20"/>
        </w:rPr>
        <w:t xml:space="preserve">tre los párrafos </w:t>
      </w:r>
      <w:r w:rsidR="00D96C10">
        <w:rPr>
          <w:rFonts w:ascii="Verdana" w:hAnsi="Verdana"/>
          <w:sz w:val="20"/>
          <w:szCs w:val="20"/>
        </w:rPr>
        <w:t>1.1.2.5</w:t>
      </w:r>
      <w:r w:rsidR="009C0197">
        <w:rPr>
          <w:rFonts w:ascii="Verdana" w:hAnsi="Verdana"/>
          <w:sz w:val="20"/>
          <w:szCs w:val="20"/>
        </w:rPr>
        <w:t>0</w:t>
      </w:r>
      <w:r w:rsidR="00D96C10">
        <w:rPr>
          <w:rFonts w:ascii="Verdana" w:hAnsi="Verdana"/>
          <w:sz w:val="20"/>
          <w:szCs w:val="20"/>
        </w:rPr>
        <w:t xml:space="preserve">. y 1.1.2.62. de la presente sección. </w:t>
      </w:r>
    </w:p>
    <w:p w14:paraId="11BE5294" w14:textId="18526184" w:rsidR="00FE014F" w:rsidRPr="00443A04" w:rsidRDefault="00FE014F" w:rsidP="00766CA6">
      <w:pPr>
        <w:spacing w:after="0"/>
        <w:jc w:val="both"/>
        <w:rPr>
          <w:rFonts w:ascii="Verdana" w:hAnsi="Verdana"/>
          <w:sz w:val="20"/>
          <w:szCs w:val="20"/>
        </w:rPr>
      </w:pPr>
      <w:r>
        <w:rPr>
          <w:rFonts w:ascii="Verdana" w:hAnsi="Verdana"/>
          <w:sz w:val="20"/>
          <w:szCs w:val="20"/>
        </w:rPr>
        <w:t>1.1.</w:t>
      </w:r>
      <w:r w:rsidR="00A43430">
        <w:rPr>
          <w:rFonts w:ascii="Verdana" w:hAnsi="Verdana"/>
          <w:sz w:val="20"/>
          <w:szCs w:val="20"/>
        </w:rPr>
        <w:t>2</w:t>
      </w:r>
      <w:r>
        <w:rPr>
          <w:rFonts w:ascii="Verdana" w:hAnsi="Verdana"/>
          <w:sz w:val="20"/>
          <w:szCs w:val="20"/>
        </w:rPr>
        <w:t>.11.</w:t>
      </w:r>
    </w:p>
    <w:p w14:paraId="5C169862" w14:textId="07B835D1" w:rsidR="003D4515" w:rsidRDefault="003D4515" w:rsidP="00766CA6">
      <w:pPr>
        <w:jc w:val="both"/>
        <w:rPr>
          <w:rFonts w:ascii="Verdana" w:hAnsi="Verdana"/>
          <w:sz w:val="20"/>
          <w:szCs w:val="20"/>
        </w:rPr>
      </w:pPr>
      <w:r w:rsidRPr="003D4515">
        <w:rPr>
          <w:rFonts w:ascii="Verdana" w:hAnsi="Verdana"/>
          <w:sz w:val="20"/>
          <w:szCs w:val="20"/>
        </w:rPr>
        <w:t xml:space="preserve">La gestión de este riesgo debe ser acorde con el perfil y marco de apetito de riesgo, el plan de negocio, la naturaleza, el tamaño y la complejidad y diversidad de las actividades que desarrolle la entidad, así como con su importancia por tamaño e interconectividad en el sistema financiero y los entornos económicos y de los mercados en donde </w:t>
      </w:r>
      <w:r w:rsidR="008729F3">
        <w:rPr>
          <w:rFonts w:ascii="Verdana" w:hAnsi="Verdana"/>
          <w:sz w:val="20"/>
          <w:szCs w:val="20"/>
        </w:rPr>
        <w:t>la entidad</w:t>
      </w:r>
      <w:r w:rsidRPr="003D4515">
        <w:rPr>
          <w:rFonts w:ascii="Verdana" w:hAnsi="Verdana"/>
          <w:sz w:val="20"/>
          <w:szCs w:val="20"/>
        </w:rPr>
        <w:t xml:space="preserve"> opera.</w:t>
      </w:r>
    </w:p>
    <w:p w14:paraId="1C4A1337" w14:textId="28970BCA" w:rsidR="0086035E" w:rsidRPr="0086035E" w:rsidRDefault="0086035E" w:rsidP="00766CA6">
      <w:pPr>
        <w:spacing w:after="0"/>
        <w:jc w:val="both"/>
        <w:rPr>
          <w:rFonts w:ascii="Verdana" w:hAnsi="Verdana"/>
          <w:sz w:val="20"/>
          <w:szCs w:val="20"/>
        </w:rPr>
      </w:pPr>
      <w:r w:rsidRPr="0086035E">
        <w:rPr>
          <w:rFonts w:ascii="Verdana" w:hAnsi="Verdana"/>
          <w:sz w:val="20"/>
          <w:szCs w:val="20"/>
        </w:rPr>
        <w:t>1.1.</w:t>
      </w:r>
      <w:r w:rsidR="00A43430">
        <w:rPr>
          <w:rFonts w:ascii="Verdana" w:hAnsi="Verdana"/>
          <w:sz w:val="20"/>
          <w:szCs w:val="20"/>
        </w:rPr>
        <w:t>2</w:t>
      </w:r>
      <w:r w:rsidRPr="0086035E">
        <w:rPr>
          <w:rFonts w:ascii="Verdana" w:hAnsi="Verdana"/>
          <w:sz w:val="20"/>
          <w:szCs w:val="20"/>
        </w:rPr>
        <w:t>.12.</w:t>
      </w:r>
    </w:p>
    <w:p w14:paraId="341E71BE" w14:textId="17BD6344" w:rsidR="005E4294" w:rsidRDefault="008F5895" w:rsidP="00766CA6">
      <w:pPr>
        <w:jc w:val="both"/>
        <w:rPr>
          <w:rFonts w:ascii="Verdana" w:hAnsi="Verdana"/>
          <w:sz w:val="20"/>
          <w:szCs w:val="20"/>
        </w:rPr>
      </w:pPr>
      <w:r w:rsidRPr="008F5895">
        <w:rPr>
          <w:rFonts w:ascii="Verdana" w:hAnsi="Verdana"/>
          <w:sz w:val="20"/>
          <w:szCs w:val="20"/>
        </w:rPr>
        <w:t>Para la gestión de nuevas actividades, se requiere una planificación y vigilancia que asegure que los riesgos están siendo apropiadamente identificados y administrados. En este sentido, la entidad debe asegurarse que los riesgos de nuevas actividades estén sujetos a procedimientos y controles adecuados antes de ser operados</w:t>
      </w:r>
      <w:r w:rsidR="001461AC">
        <w:rPr>
          <w:rFonts w:ascii="Verdana" w:hAnsi="Verdana"/>
          <w:sz w:val="20"/>
          <w:szCs w:val="20"/>
        </w:rPr>
        <w:t xml:space="preserve"> y </w:t>
      </w:r>
      <w:r w:rsidRPr="008F5895">
        <w:rPr>
          <w:rFonts w:ascii="Verdana" w:hAnsi="Verdana"/>
          <w:sz w:val="20"/>
          <w:szCs w:val="20"/>
        </w:rPr>
        <w:t>a la vez que sean aprobados de forma anticipada por la JD</w:t>
      </w:r>
      <w:r w:rsidR="005E4294" w:rsidRPr="00C53365">
        <w:rPr>
          <w:rFonts w:ascii="Verdana" w:hAnsi="Verdana"/>
          <w:sz w:val="20"/>
          <w:szCs w:val="20"/>
        </w:rPr>
        <w:t>.</w:t>
      </w:r>
    </w:p>
    <w:p w14:paraId="0EFE451E" w14:textId="4959D3EA" w:rsidR="005E4294" w:rsidRPr="00A6029C" w:rsidRDefault="005E4294" w:rsidP="00766CA6">
      <w:pPr>
        <w:jc w:val="both"/>
        <w:rPr>
          <w:rFonts w:ascii="Verdana" w:hAnsi="Verdana"/>
          <w:b/>
          <w:bCs/>
          <w:sz w:val="20"/>
          <w:szCs w:val="20"/>
        </w:rPr>
      </w:pPr>
      <w:r>
        <w:rPr>
          <w:rFonts w:ascii="Verdana" w:hAnsi="Verdana"/>
          <w:b/>
          <w:bCs/>
          <w:sz w:val="20"/>
          <w:szCs w:val="20"/>
        </w:rPr>
        <w:t>Etapas</w:t>
      </w:r>
    </w:p>
    <w:p w14:paraId="3D268727" w14:textId="4BAE4120" w:rsidR="00C65467" w:rsidRPr="00443A04" w:rsidRDefault="005E4294" w:rsidP="00766CA6">
      <w:pPr>
        <w:spacing w:after="0"/>
        <w:jc w:val="both"/>
        <w:rPr>
          <w:rFonts w:ascii="Verdana" w:hAnsi="Verdana"/>
          <w:sz w:val="20"/>
          <w:szCs w:val="20"/>
        </w:rPr>
      </w:pPr>
      <w:r>
        <w:rPr>
          <w:rFonts w:ascii="Verdana" w:hAnsi="Verdana"/>
          <w:sz w:val="20"/>
          <w:szCs w:val="20"/>
        </w:rPr>
        <w:t>1</w:t>
      </w:r>
      <w:r w:rsidR="00C65467">
        <w:rPr>
          <w:rFonts w:ascii="Verdana" w:hAnsi="Verdana"/>
          <w:sz w:val="20"/>
          <w:szCs w:val="20"/>
        </w:rPr>
        <w:t>.1.2.13.</w:t>
      </w:r>
    </w:p>
    <w:p w14:paraId="0A755A66" w14:textId="3E94A840" w:rsidR="00293A4C" w:rsidRPr="00443A04" w:rsidRDefault="00640CED" w:rsidP="00766CA6">
      <w:pPr>
        <w:jc w:val="both"/>
        <w:rPr>
          <w:rFonts w:ascii="Verdana" w:hAnsi="Verdana"/>
          <w:sz w:val="20"/>
          <w:szCs w:val="20"/>
        </w:rPr>
      </w:pPr>
      <w:r w:rsidRPr="00640CED">
        <w:rPr>
          <w:rFonts w:ascii="Verdana" w:hAnsi="Verdana"/>
          <w:sz w:val="20"/>
          <w:szCs w:val="20"/>
        </w:rPr>
        <w:t>Para la gestión del riesgo de crédito la entidad debe desarrollar las siguientes etapas:</w:t>
      </w:r>
    </w:p>
    <w:p w14:paraId="67E4AFD4" w14:textId="25B14A85" w:rsidR="00443A04" w:rsidRPr="00732E97" w:rsidRDefault="00AD45D3"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Identificación</w:t>
      </w:r>
    </w:p>
    <w:p w14:paraId="40ED883F" w14:textId="6662949F" w:rsidR="00F50CC6" w:rsidRPr="0086035E" w:rsidRDefault="00F50CC6" w:rsidP="00766CA6">
      <w:pPr>
        <w:spacing w:after="0"/>
        <w:jc w:val="both"/>
        <w:rPr>
          <w:rFonts w:ascii="Verdana" w:hAnsi="Verdana"/>
          <w:sz w:val="20"/>
          <w:szCs w:val="20"/>
        </w:rPr>
      </w:pPr>
      <w:r w:rsidRPr="0086035E">
        <w:rPr>
          <w:rFonts w:ascii="Verdana" w:hAnsi="Verdana"/>
          <w:sz w:val="20"/>
          <w:szCs w:val="20"/>
        </w:rPr>
        <w:t>1.1.</w:t>
      </w:r>
      <w:r w:rsidR="00A43430">
        <w:rPr>
          <w:rFonts w:ascii="Verdana" w:hAnsi="Verdana"/>
          <w:sz w:val="20"/>
          <w:szCs w:val="20"/>
        </w:rPr>
        <w:t>2</w:t>
      </w:r>
      <w:r w:rsidRPr="0086035E">
        <w:rPr>
          <w:rFonts w:ascii="Verdana" w:hAnsi="Verdana"/>
          <w:sz w:val="20"/>
          <w:szCs w:val="20"/>
        </w:rPr>
        <w:t>.1</w:t>
      </w:r>
      <w:r>
        <w:rPr>
          <w:rFonts w:ascii="Verdana" w:hAnsi="Verdana"/>
          <w:sz w:val="20"/>
          <w:szCs w:val="20"/>
        </w:rPr>
        <w:t>4</w:t>
      </w:r>
      <w:r w:rsidRPr="0086035E">
        <w:rPr>
          <w:rFonts w:ascii="Verdana" w:hAnsi="Verdana"/>
          <w:sz w:val="20"/>
          <w:szCs w:val="20"/>
        </w:rPr>
        <w:t>.</w:t>
      </w:r>
    </w:p>
    <w:p w14:paraId="17C7747C" w14:textId="5C8DEA0C" w:rsidR="00443A04" w:rsidRDefault="00A64D5F" w:rsidP="00766CA6">
      <w:pPr>
        <w:jc w:val="both"/>
        <w:rPr>
          <w:rFonts w:ascii="Verdana" w:hAnsi="Verdana"/>
          <w:sz w:val="20"/>
          <w:szCs w:val="20"/>
        </w:rPr>
      </w:pPr>
      <w:r w:rsidRPr="00A64D5F">
        <w:rPr>
          <w:rFonts w:ascii="Verdana" w:hAnsi="Verdana"/>
          <w:sz w:val="20"/>
          <w:szCs w:val="20"/>
        </w:rPr>
        <w:t xml:space="preserve">La entidad debe identificar el riesgo de crédito inherente en cualquier actividad expuesta a este riesgo, lo cual incluye la identificación de los factores que pueden llevar a cambios en el riesgo de crédito durante todo el ciclo de </w:t>
      </w:r>
      <w:r w:rsidR="007408F7">
        <w:rPr>
          <w:rFonts w:ascii="Verdana" w:hAnsi="Verdana"/>
          <w:sz w:val="20"/>
          <w:szCs w:val="20"/>
        </w:rPr>
        <w:t xml:space="preserve">vida del </w:t>
      </w:r>
      <w:r w:rsidRPr="00A64D5F">
        <w:rPr>
          <w:rFonts w:ascii="Verdana" w:hAnsi="Verdana"/>
          <w:sz w:val="20"/>
          <w:szCs w:val="20"/>
        </w:rPr>
        <w:t>crédito.</w:t>
      </w:r>
    </w:p>
    <w:p w14:paraId="5E59F8BE" w14:textId="408281CD" w:rsidR="009F5410" w:rsidRPr="00732E97" w:rsidRDefault="00E0154F"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Medición</w:t>
      </w:r>
    </w:p>
    <w:p w14:paraId="3CA884CA" w14:textId="137FA865" w:rsidR="009F5410" w:rsidRPr="0086035E" w:rsidRDefault="009F5410"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E0154F">
        <w:rPr>
          <w:rFonts w:ascii="Verdana" w:hAnsi="Verdana"/>
          <w:sz w:val="20"/>
          <w:szCs w:val="20"/>
        </w:rPr>
        <w:t>5</w:t>
      </w:r>
      <w:r w:rsidRPr="0086035E">
        <w:rPr>
          <w:rFonts w:ascii="Verdana" w:hAnsi="Verdana"/>
          <w:sz w:val="20"/>
          <w:szCs w:val="20"/>
        </w:rPr>
        <w:t>.</w:t>
      </w:r>
    </w:p>
    <w:p w14:paraId="27FB0536" w14:textId="752E2608" w:rsidR="009F5410" w:rsidRDefault="00D01D7F" w:rsidP="00766CA6">
      <w:pPr>
        <w:jc w:val="both"/>
        <w:rPr>
          <w:rFonts w:ascii="Verdana" w:hAnsi="Verdana"/>
          <w:sz w:val="20"/>
          <w:szCs w:val="20"/>
        </w:rPr>
      </w:pPr>
      <w:r w:rsidRPr="00D01D7F">
        <w:rPr>
          <w:rFonts w:ascii="Verdana" w:hAnsi="Verdana"/>
          <w:sz w:val="20"/>
          <w:szCs w:val="20"/>
        </w:rPr>
        <w:t>La entidad debe contar con un sistema de información y con las metodologías y modelos adecuados para</w:t>
      </w:r>
      <w:r>
        <w:rPr>
          <w:rFonts w:ascii="Verdana" w:hAnsi="Verdana"/>
          <w:sz w:val="20"/>
          <w:szCs w:val="20"/>
        </w:rPr>
        <w:t>:</w:t>
      </w:r>
      <w:r w:rsidRPr="00D01D7F">
        <w:rPr>
          <w:rFonts w:ascii="Verdana" w:hAnsi="Verdana"/>
          <w:sz w:val="20"/>
          <w:szCs w:val="20"/>
        </w:rPr>
        <w:t xml:space="preserve"> (i) cuantificar el riesgo asociado a las exposiciones crediticias con sus deudores y los niveles de concentración y exposición al riesgo, (</w:t>
      </w:r>
      <w:proofErr w:type="spellStart"/>
      <w:r w:rsidRPr="00D01D7F">
        <w:rPr>
          <w:rFonts w:ascii="Verdana" w:hAnsi="Verdana"/>
          <w:sz w:val="20"/>
          <w:szCs w:val="20"/>
        </w:rPr>
        <w:t>ii</w:t>
      </w:r>
      <w:proofErr w:type="spellEnd"/>
      <w:r w:rsidRPr="00D01D7F">
        <w:rPr>
          <w:rFonts w:ascii="Verdana" w:hAnsi="Verdana"/>
          <w:sz w:val="20"/>
          <w:szCs w:val="20"/>
        </w:rPr>
        <w:t>) evaluar su relación con el apetito de riesgo, el plan de negocio, los límites y los niveles de provisiones, capital, liquidez y (</w:t>
      </w:r>
      <w:proofErr w:type="spellStart"/>
      <w:r w:rsidRPr="00D01D7F">
        <w:rPr>
          <w:rFonts w:ascii="Verdana" w:hAnsi="Verdana"/>
          <w:sz w:val="20"/>
          <w:szCs w:val="20"/>
        </w:rPr>
        <w:t>iii</w:t>
      </w:r>
      <w:proofErr w:type="spellEnd"/>
      <w:r w:rsidRPr="00D01D7F">
        <w:rPr>
          <w:rFonts w:ascii="Verdana" w:hAnsi="Verdana"/>
          <w:sz w:val="20"/>
          <w:szCs w:val="20"/>
        </w:rPr>
        <w:t>) realizar un análisis de sensibilidades y escenarios adversos sobre la cartera crediticia.</w:t>
      </w:r>
    </w:p>
    <w:p w14:paraId="2B90B43D" w14:textId="33530E69" w:rsidR="008D1A73" w:rsidRPr="0086035E" w:rsidRDefault="008D1A73"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6</w:t>
      </w:r>
      <w:r w:rsidRPr="0086035E">
        <w:rPr>
          <w:rFonts w:ascii="Verdana" w:hAnsi="Verdana"/>
          <w:sz w:val="20"/>
          <w:szCs w:val="20"/>
        </w:rPr>
        <w:t>.</w:t>
      </w:r>
    </w:p>
    <w:p w14:paraId="1F4E1BED" w14:textId="4DE617D0" w:rsidR="008D1A73" w:rsidRPr="008D1A73" w:rsidRDefault="008D1A73" w:rsidP="00766CA6">
      <w:pPr>
        <w:jc w:val="both"/>
        <w:rPr>
          <w:rFonts w:ascii="Verdana" w:hAnsi="Verdana"/>
          <w:sz w:val="20"/>
          <w:szCs w:val="20"/>
        </w:rPr>
      </w:pPr>
      <w:r w:rsidRPr="008D1A73">
        <w:rPr>
          <w:rFonts w:ascii="Verdana" w:hAnsi="Verdana"/>
          <w:sz w:val="20"/>
          <w:szCs w:val="20"/>
        </w:rPr>
        <w:t>Para este propósito, la medición debe tener en cuenta como mínimo:</w:t>
      </w:r>
    </w:p>
    <w:p w14:paraId="335AAA8D" w14:textId="77777777" w:rsidR="008D1A73" w:rsidRDefault="008D1A73" w:rsidP="00766CA6">
      <w:pPr>
        <w:pStyle w:val="Prrafodelista"/>
        <w:numPr>
          <w:ilvl w:val="0"/>
          <w:numId w:val="4"/>
        </w:numPr>
        <w:spacing w:after="0" w:line="240" w:lineRule="auto"/>
        <w:ind w:left="567" w:hanging="567"/>
        <w:jc w:val="both"/>
        <w:rPr>
          <w:rFonts w:ascii="Verdana" w:hAnsi="Verdana"/>
          <w:sz w:val="20"/>
          <w:szCs w:val="20"/>
        </w:rPr>
      </w:pPr>
      <w:r w:rsidRPr="008D1A73">
        <w:rPr>
          <w:rFonts w:ascii="Verdana" w:hAnsi="Verdana"/>
          <w:sz w:val="20"/>
          <w:szCs w:val="20"/>
        </w:rPr>
        <w:t>La información recopilada en las diferentes etapas del ciclo del crédito.</w:t>
      </w:r>
    </w:p>
    <w:p w14:paraId="196C1FB6" w14:textId="77777777" w:rsidR="008D1A73" w:rsidRDefault="008D1A73" w:rsidP="00766CA6">
      <w:pPr>
        <w:pStyle w:val="Prrafodelista"/>
        <w:spacing w:after="0" w:line="240" w:lineRule="auto"/>
        <w:ind w:left="567"/>
        <w:jc w:val="both"/>
        <w:rPr>
          <w:rFonts w:ascii="Verdana" w:hAnsi="Verdana"/>
          <w:sz w:val="20"/>
          <w:szCs w:val="20"/>
        </w:rPr>
      </w:pPr>
    </w:p>
    <w:p w14:paraId="04123356" w14:textId="77777777" w:rsidR="008D1A73" w:rsidRDefault="008D1A73" w:rsidP="00766CA6">
      <w:pPr>
        <w:pStyle w:val="Prrafodelista"/>
        <w:numPr>
          <w:ilvl w:val="0"/>
          <w:numId w:val="4"/>
        </w:numPr>
        <w:spacing w:after="0" w:line="240" w:lineRule="auto"/>
        <w:ind w:left="567" w:hanging="567"/>
        <w:jc w:val="both"/>
        <w:rPr>
          <w:rFonts w:ascii="Verdana" w:hAnsi="Verdana"/>
          <w:sz w:val="20"/>
          <w:szCs w:val="20"/>
        </w:rPr>
      </w:pPr>
      <w:r w:rsidRPr="008D1A73">
        <w:rPr>
          <w:rFonts w:ascii="Verdana" w:hAnsi="Verdana"/>
          <w:sz w:val="20"/>
          <w:szCs w:val="20"/>
        </w:rPr>
        <w:t>Los factores de riegos específicos del deudor o de su segmento que pueden afectar su capacidad de pago.</w:t>
      </w:r>
    </w:p>
    <w:p w14:paraId="494816E6" w14:textId="77777777" w:rsidR="008D1A73" w:rsidRPr="008D1A73" w:rsidRDefault="008D1A73" w:rsidP="00766CA6">
      <w:pPr>
        <w:pStyle w:val="Prrafodelista"/>
        <w:jc w:val="both"/>
        <w:rPr>
          <w:rFonts w:ascii="Verdana" w:hAnsi="Verdana"/>
          <w:sz w:val="20"/>
          <w:szCs w:val="20"/>
        </w:rPr>
      </w:pPr>
    </w:p>
    <w:p w14:paraId="50E58BF1" w14:textId="2FC0A532" w:rsidR="008D1A73" w:rsidRDefault="008D1A73" w:rsidP="00766CA6">
      <w:pPr>
        <w:pStyle w:val="Prrafodelista"/>
        <w:numPr>
          <w:ilvl w:val="0"/>
          <w:numId w:val="4"/>
        </w:numPr>
        <w:spacing w:after="0" w:line="240" w:lineRule="auto"/>
        <w:ind w:left="567" w:hanging="567"/>
        <w:jc w:val="both"/>
        <w:rPr>
          <w:rFonts w:ascii="Verdana" w:hAnsi="Verdana"/>
          <w:sz w:val="20"/>
          <w:szCs w:val="20"/>
        </w:rPr>
      </w:pPr>
      <w:r w:rsidRPr="008D1A73">
        <w:rPr>
          <w:rFonts w:ascii="Verdana" w:hAnsi="Verdana"/>
          <w:sz w:val="20"/>
          <w:szCs w:val="20"/>
        </w:rPr>
        <w:t xml:space="preserve">La realización de ejercicios estrés en diferentes escenarios para evaluar su impacto en la cartera crediticia, así como en </w:t>
      </w:r>
      <w:r w:rsidRPr="008D1A73" w:rsidDel="00F37DE4">
        <w:rPr>
          <w:rFonts w:ascii="Verdana" w:hAnsi="Verdana"/>
          <w:sz w:val="20"/>
          <w:szCs w:val="20"/>
        </w:rPr>
        <w:t>la</w:t>
      </w:r>
      <w:r w:rsidRPr="008D1A73">
        <w:rPr>
          <w:rFonts w:ascii="Verdana" w:hAnsi="Verdana"/>
          <w:sz w:val="20"/>
          <w:szCs w:val="20"/>
        </w:rPr>
        <w:t>s provisiones, la</w:t>
      </w:r>
      <w:r w:rsidRPr="008D1A73" w:rsidDel="00F37DE4">
        <w:rPr>
          <w:rFonts w:ascii="Verdana" w:hAnsi="Verdana"/>
          <w:sz w:val="20"/>
          <w:szCs w:val="20"/>
        </w:rPr>
        <w:t xml:space="preserve"> </w:t>
      </w:r>
      <w:r w:rsidRPr="008D1A73">
        <w:rPr>
          <w:rFonts w:ascii="Verdana" w:hAnsi="Verdana"/>
          <w:sz w:val="20"/>
          <w:szCs w:val="20"/>
        </w:rPr>
        <w:t xml:space="preserve">rentabilidad, el capital y la liquidez de la entidad, en los términos del </w:t>
      </w:r>
      <w:r w:rsidR="003866BA">
        <w:rPr>
          <w:rFonts w:ascii="Verdana" w:hAnsi="Verdana"/>
          <w:sz w:val="20"/>
          <w:szCs w:val="20"/>
        </w:rPr>
        <w:t xml:space="preserve">capítulo </w:t>
      </w:r>
      <w:r w:rsidR="00D4275F">
        <w:rPr>
          <w:rFonts w:ascii="Verdana" w:hAnsi="Verdana"/>
          <w:sz w:val="20"/>
          <w:szCs w:val="20"/>
        </w:rPr>
        <w:t xml:space="preserve">9 de la parte 2 de la </w:t>
      </w:r>
      <w:r w:rsidRPr="008D1A73">
        <w:rPr>
          <w:rFonts w:ascii="Verdana" w:hAnsi="Verdana"/>
          <w:sz w:val="20"/>
          <w:szCs w:val="20"/>
        </w:rPr>
        <w:t>CB</w:t>
      </w:r>
      <w:r w:rsidR="00D4275F">
        <w:rPr>
          <w:rFonts w:ascii="Verdana" w:hAnsi="Verdana"/>
          <w:sz w:val="20"/>
          <w:szCs w:val="20"/>
        </w:rPr>
        <w:t>F</w:t>
      </w:r>
      <w:r w:rsidRPr="008D1A73">
        <w:rPr>
          <w:rFonts w:ascii="Verdana" w:hAnsi="Verdana"/>
          <w:sz w:val="20"/>
          <w:szCs w:val="20"/>
        </w:rPr>
        <w:t xml:space="preserve">. </w:t>
      </w:r>
    </w:p>
    <w:p w14:paraId="11368CF2" w14:textId="77777777" w:rsidR="008D1A73" w:rsidRPr="008D1A73" w:rsidRDefault="008D1A73" w:rsidP="00766CA6">
      <w:pPr>
        <w:pStyle w:val="Prrafodelista"/>
        <w:jc w:val="both"/>
        <w:rPr>
          <w:rFonts w:ascii="Verdana" w:hAnsi="Verdana"/>
          <w:sz w:val="20"/>
          <w:szCs w:val="20"/>
        </w:rPr>
      </w:pPr>
    </w:p>
    <w:p w14:paraId="137745B3" w14:textId="6228C39F" w:rsidR="008D1A73" w:rsidRPr="008D1A73" w:rsidRDefault="008D1A73" w:rsidP="00766CA6">
      <w:pPr>
        <w:pStyle w:val="Prrafodelista"/>
        <w:numPr>
          <w:ilvl w:val="0"/>
          <w:numId w:val="4"/>
        </w:numPr>
        <w:spacing w:after="0" w:line="240" w:lineRule="auto"/>
        <w:ind w:left="567" w:hanging="567"/>
        <w:jc w:val="both"/>
        <w:rPr>
          <w:rFonts w:ascii="Verdana" w:hAnsi="Verdana"/>
          <w:sz w:val="20"/>
          <w:szCs w:val="20"/>
        </w:rPr>
      </w:pPr>
      <w:r w:rsidRPr="008D1A73">
        <w:rPr>
          <w:rFonts w:ascii="Verdana" w:hAnsi="Verdana"/>
          <w:sz w:val="20"/>
          <w:szCs w:val="20"/>
        </w:rPr>
        <w:t>Las pruebas de desempeño periódicas sobre la capacidad predictiva de los modelos de medición del riesgo de crédito.</w:t>
      </w:r>
    </w:p>
    <w:p w14:paraId="4395311C" w14:textId="77777777" w:rsidR="00AA1922" w:rsidRDefault="00AA1922" w:rsidP="00766CA6">
      <w:pPr>
        <w:spacing w:after="0"/>
        <w:jc w:val="both"/>
        <w:rPr>
          <w:rFonts w:ascii="Verdana" w:hAnsi="Verdana"/>
          <w:sz w:val="20"/>
          <w:szCs w:val="20"/>
        </w:rPr>
      </w:pPr>
    </w:p>
    <w:p w14:paraId="1284F37E" w14:textId="708B0BB9" w:rsidR="00AA1922" w:rsidRPr="0086035E" w:rsidRDefault="00AA1922" w:rsidP="00766CA6">
      <w:pPr>
        <w:spacing w:after="0"/>
        <w:jc w:val="both"/>
        <w:rPr>
          <w:rFonts w:ascii="Verdana" w:hAnsi="Verdana"/>
          <w:sz w:val="20"/>
          <w:szCs w:val="20"/>
        </w:rPr>
      </w:pPr>
      <w:r w:rsidRPr="0086035E">
        <w:rPr>
          <w:rFonts w:ascii="Verdana" w:hAnsi="Verdana"/>
          <w:sz w:val="20"/>
          <w:szCs w:val="20"/>
        </w:rPr>
        <w:lastRenderedPageBreak/>
        <w:t>1.1.</w:t>
      </w:r>
      <w:r>
        <w:rPr>
          <w:rFonts w:ascii="Verdana" w:hAnsi="Verdana"/>
          <w:sz w:val="20"/>
          <w:szCs w:val="20"/>
        </w:rPr>
        <w:t>2</w:t>
      </w:r>
      <w:r w:rsidRPr="0086035E">
        <w:rPr>
          <w:rFonts w:ascii="Verdana" w:hAnsi="Verdana"/>
          <w:sz w:val="20"/>
          <w:szCs w:val="20"/>
        </w:rPr>
        <w:t>.1</w:t>
      </w:r>
      <w:r>
        <w:rPr>
          <w:rFonts w:ascii="Verdana" w:hAnsi="Verdana"/>
          <w:sz w:val="20"/>
          <w:szCs w:val="20"/>
        </w:rPr>
        <w:t>7</w:t>
      </w:r>
      <w:r w:rsidRPr="0086035E">
        <w:rPr>
          <w:rFonts w:ascii="Verdana" w:hAnsi="Verdana"/>
          <w:sz w:val="20"/>
          <w:szCs w:val="20"/>
        </w:rPr>
        <w:t>.</w:t>
      </w:r>
    </w:p>
    <w:p w14:paraId="3B066A85" w14:textId="3DB7255D" w:rsidR="008D1A73" w:rsidRPr="008D1A73" w:rsidRDefault="008D1A73" w:rsidP="00766CA6">
      <w:pPr>
        <w:jc w:val="both"/>
        <w:rPr>
          <w:rFonts w:ascii="Verdana" w:hAnsi="Verdana"/>
          <w:sz w:val="20"/>
          <w:szCs w:val="20"/>
        </w:rPr>
      </w:pPr>
      <w:r w:rsidRPr="008D1A73">
        <w:rPr>
          <w:rFonts w:ascii="Verdana" w:hAnsi="Verdana"/>
          <w:sz w:val="20"/>
          <w:szCs w:val="20"/>
        </w:rPr>
        <w:t xml:space="preserve">La entidad debe revisar periódicamente los </w:t>
      </w:r>
      <w:r w:rsidRPr="00573318">
        <w:rPr>
          <w:rFonts w:ascii="Verdana" w:hAnsi="Verdana"/>
          <w:sz w:val="20"/>
          <w:szCs w:val="20"/>
        </w:rPr>
        <w:t>sistemas internos de calificación de riesgos que utilice.</w:t>
      </w:r>
      <w:r w:rsidR="00E70F71" w:rsidRPr="00573318">
        <w:rPr>
          <w:rFonts w:ascii="Verdana" w:hAnsi="Verdana"/>
          <w:sz w:val="20"/>
          <w:szCs w:val="20"/>
        </w:rPr>
        <w:t xml:space="preserve"> </w:t>
      </w:r>
      <w:r w:rsidRPr="00573318">
        <w:rPr>
          <w:rFonts w:ascii="Verdana" w:hAnsi="Verdana"/>
          <w:sz w:val="20"/>
          <w:szCs w:val="20"/>
        </w:rPr>
        <w:t xml:space="preserve">De igual manera, la entidad debe cumplir las instrucciones señaladas en la </w:t>
      </w:r>
      <w:r w:rsidR="00E70F71" w:rsidRPr="00573318">
        <w:rPr>
          <w:rFonts w:ascii="Verdana" w:hAnsi="Verdana"/>
          <w:sz w:val="20"/>
          <w:szCs w:val="20"/>
        </w:rPr>
        <w:t>sección</w:t>
      </w:r>
      <w:r w:rsidRPr="00573318">
        <w:rPr>
          <w:rFonts w:ascii="Verdana" w:hAnsi="Verdana"/>
          <w:sz w:val="20"/>
          <w:szCs w:val="20"/>
        </w:rPr>
        <w:t xml:space="preserve"> </w:t>
      </w:r>
      <w:r w:rsidR="00E70F71" w:rsidRPr="00573318">
        <w:rPr>
          <w:rFonts w:ascii="Verdana" w:hAnsi="Verdana"/>
          <w:sz w:val="20"/>
          <w:szCs w:val="20"/>
        </w:rPr>
        <w:t>3</w:t>
      </w:r>
      <w:r w:rsidRPr="00573318">
        <w:rPr>
          <w:rFonts w:ascii="Verdana" w:hAnsi="Verdana"/>
          <w:sz w:val="20"/>
          <w:szCs w:val="20"/>
        </w:rPr>
        <w:t xml:space="preserve"> del presente </w:t>
      </w:r>
      <w:r w:rsidR="00301C8A" w:rsidRPr="00573318">
        <w:rPr>
          <w:rFonts w:ascii="Verdana" w:hAnsi="Verdana"/>
          <w:sz w:val="20"/>
          <w:szCs w:val="20"/>
        </w:rPr>
        <w:t>c</w:t>
      </w:r>
      <w:r w:rsidRPr="00573318">
        <w:rPr>
          <w:rFonts w:ascii="Verdana" w:hAnsi="Verdana"/>
          <w:sz w:val="20"/>
          <w:szCs w:val="20"/>
        </w:rPr>
        <w:t>apítulo</w:t>
      </w:r>
      <w:r w:rsidR="00573318" w:rsidRPr="00573318">
        <w:rPr>
          <w:rFonts w:ascii="Verdana" w:hAnsi="Verdana"/>
          <w:sz w:val="20"/>
          <w:szCs w:val="20"/>
        </w:rPr>
        <w:t>, en relación con la medición del riesgo</w:t>
      </w:r>
      <w:r w:rsidR="00573318">
        <w:rPr>
          <w:rFonts w:ascii="Verdana" w:hAnsi="Verdana"/>
          <w:sz w:val="20"/>
          <w:szCs w:val="20"/>
        </w:rPr>
        <w:t xml:space="preserve"> de crédito</w:t>
      </w:r>
      <w:r w:rsidRPr="008D1A73">
        <w:rPr>
          <w:rFonts w:ascii="Verdana" w:hAnsi="Verdana"/>
          <w:sz w:val="20"/>
          <w:szCs w:val="20"/>
        </w:rPr>
        <w:t>.</w:t>
      </w:r>
    </w:p>
    <w:p w14:paraId="4A28E299" w14:textId="2C66607C" w:rsidR="00D01D7F" w:rsidRPr="00732E97" w:rsidRDefault="00AB0790"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Control y monitoreo</w:t>
      </w:r>
    </w:p>
    <w:p w14:paraId="1D89E58B" w14:textId="0977FB24" w:rsidR="00D01D7F" w:rsidRPr="0086035E" w:rsidRDefault="00D01D7F"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007259">
        <w:rPr>
          <w:rFonts w:ascii="Verdana" w:hAnsi="Verdana"/>
          <w:sz w:val="20"/>
          <w:szCs w:val="20"/>
        </w:rPr>
        <w:t>8</w:t>
      </w:r>
      <w:r w:rsidRPr="0086035E">
        <w:rPr>
          <w:rFonts w:ascii="Verdana" w:hAnsi="Verdana"/>
          <w:sz w:val="20"/>
          <w:szCs w:val="20"/>
        </w:rPr>
        <w:t>.</w:t>
      </w:r>
    </w:p>
    <w:p w14:paraId="057EC829" w14:textId="6B8AAB06" w:rsidR="00007259" w:rsidRPr="00007259" w:rsidRDefault="00007259" w:rsidP="00766CA6">
      <w:pPr>
        <w:jc w:val="both"/>
        <w:rPr>
          <w:rFonts w:ascii="Verdana" w:hAnsi="Verdana"/>
          <w:sz w:val="20"/>
          <w:szCs w:val="20"/>
        </w:rPr>
      </w:pPr>
      <w:r w:rsidRPr="00007259">
        <w:rPr>
          <w:rFonts w:ascii="Verdana" w:hAnsi="Verdana"/>
          <w:sz w:val="20"/>
          <w:szCs w:val="20"/>
        </w:rPr>
        <w:t>El control y monitoreo que diseñe la entidad deben propender porque la exposición del riesgo de crédito esté dentro de los parámetros, umbrales y límites internos y regulatorios y en línea con el apetito de riesgo y plan de negocio definidos por la entidad.</w:t>
      </w:r>
    </w:p>
    <w:p w14:paraId="207AD3D9" w14:textId="578B9302" w:rsidR="00007259" w:rsidRPr="0086035E" w:rsidRDefault="00007259"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9</w:t>
      </w:r>
      <w:r w:rsidRPr="0086035E">
        <w:rPr>
          <w:rFonts w:ascii="Verdana" w:hAnsi="Verdana"/>
          <w:sz w:val="20"/>
          <w:szCs w:val="20"/>
        </w:rPr>
        <w:t>.</w:t>
      </w:r>
    </w:p>
    <w:p w14:paraId="5C6ACE62" w14:textId="1F40FC8F" w:rsidR="00007259" w:rsidRPr="00007259" w:rsidRDefault="00007259" w:rsidP="00766CA6">
      <w:pPr>
        <w:jc w:val="both"/>
        <w:rPr>
          <w:rFonts w:ascii="Verdana" w:hAnsi="Verdana"/>
          <w:sz w:val="20"/>
          <w:szCs w:val="20"/>
        </w:rPr>
      </w:pPr>
      <w:r w:rsidRPr="00007259">
        <w:rPr>
          <w:rFonts w:ascii="Verdana" w:hAnsi="Verdana"/>
          <w:sz w:val="20"/>
          <w:szCs w:val="20"/>
        </w:rPr>
        <w:t>El control y monitoreo definido por la entidad, en adición a las instrucciones a las que se refiere</w:t>
      </w:r>
      <w:r w:rsidR="00ED5CEA">
        <w:rPr>
          <w:rFonts w:ascii="Verdana" w:hAnsi="Verdana"/>
          <w:sz w:val="20"/>
          <w:szCs w:val="20"/>
        </w:rPr>
        <w:t>n los párrafos 1.1.2.4</w:t>
      </w:r>
      <w:r w:rsidR="00CF4379">
        <w:rPr>
          <w:rFonts w:ascii="Verdana" w:hAnsi="Verdana"/>
          <w:sz w:val="20"/>
          <w:szCs w:val="20"/>
        </w:rPr>
        <w:t>3</w:t>
      </w:r>
      <w:r w:rsidR="00ED5CEA">
        <w:rPr>
          <w:rFonts w:ascii="Verdana" w:hAnsi="Verdana"/>
          <w:sz w:val="20"/>
          <w:szCs w:val="20"/>
        </w:rPr>
        <w:t>. al 1.1.2.5</w:t>
      </w:r>
      <w:r w:rsidR="00CF4379">
        <w:rPr>
          <w:rFonts w:ascii="Verdana" w:hAnsi="Verdana"/>
          <w:sz w:val="20"/>
          <w:szCs w:val="20"/>
        </w:rPr>
        <w:t>1. de la presente sección</w:t>
      </w:r>
      <w:r w:rsidRPr="00007259">
        <w:rPr>
          <w:rFonts w:ascii="Verdana" w:hAnsi="Verdana"/>
          <w:sz w:val="20"/>
          <w:szCs w:val="20"/>
        </w:rPr>
        <w:t xml:space="preserve">, debe incluir </w:t>
      </w:r>
      <w:r w:rsidR="00862084">
        <w:rPr>
          <w:rFonts w:ascii="Verdana" w:hAnsi="Verdana"/>
          <w:sz w:val="20"/>
          <w:szCs w:val="20"/>
        </w:rPr>
        <w:t xml:space="preserve">las </w:t>
      </w:r>
      <w:r w:rsidRPr="00007259">
        <w:rPr>
          <w:rFonts w:ascii="Verdana" w:hAnsi="Verdana"/>
          <w:sz w:val="20"/>
          <w:szCs w:val="20"/>
        </w:rPr>
        <w:t>medidas y procedimientos que como mínimo le permitan a la entidad:</w:t>
      </w:r>
    </w:p>
    <w:p w14:paraId="7D68280B" w14:textId="77777777" w:rsidR="00007259" w:rsidRDefault="00007259" w:rsidP="00766CA6">
      <w:pPr>
        <w:pStyle w:val="Prrafodelista"/>
        <w:numPr>
          <w:ilvl w:val="0"/>
          <w:numId w:val="5"/>
        </w:numPr>
        <w:ind w:left="567" w:hanging="567"/>
        <w:jc w:val="both"/>
        <w:rPr>
          <w:rFonts w:ascii="Verdana" w:hAnsi="Verdana"/>
          <w:sz w:val="20"/>
          <w:szCs w:val="20"/>
        </w:rPr>
      </w:pPr>
      <w:r w:rsidRPr="00007259">
        <w:rPr>
          <w:rFonts w:ascii="Verdana" w:hAnsi="Verdana"/>
          <w:sz w:val="20"/>
          <w:szCs w:val="20"/>
        </w:rPr>
        <w:t>Gestionar de manera temprana el deterioro en la calidad crediticia de los portafolios.</w:t>
      </w:r>
    </w:p>
    <w:p w14:paraId="4E158666" w14:textId="77777777" w:rsidR="00007259" w:rsidRDefault="00007259" w:rsidP="00766CA6">
      <w:pPr>
        <w:pStyle w:val="Prrafodelista"/>
        <w:ind w:left="567"/>
        <w:jc w:val="both"/>
        <w:rPr>
          <w:rFonts w:ascii="Verdana" w:hAnsi="Verdana"/>
          <w:sz w:val="20"/>
          <w:szCs w:val="20"/>
        </w:rPr>
      </w:pPr>
    </w:p>
    <w:p w14:paraId="11D89D42" w14:textId="77777777" w:rsidR="00007259" w:rsidRDefault="00007259" w:rsidP="00766CA6">
      <w:pPr>
        <w:pStyle w:val="Prrafodelista"/>
        <w:numPr>
          <w:ilvl w:val="0"/>
          <w:numId w:val="5"/>
        </w:numPr>
        <w:ind w:left="567" w:hanging="567"/>
        <w:jc w:val="both"/>
        <w:rPr>
          <w:rFonts w:ascii="Verdana" w:hAnsi="Verdana"/>
          <w:sz w:val="20"/>
          <w:szCs w:val="20"/>
        </w:rPr>
      </w:pPr>
      <w:r w:rsidRPr="00007259">
        <w:rPr>
          <w:rFonts w:ascii="Verdana" w:hAnsi="Verdana"/>
          <w:sz w:val="20"/>
          <w:szCs w:val="20"/>
        </w:rPr>
        <w:t>Reforzar el seguimiento y monitoreo de los créditos en deterioro.</w:t>
      </w:r>
    </w:p>
    <w:p w14:paraId="3E15A70C" w14:textId="77777777" w:rsidR="00007259" w:rsidRPr="00007259" w:rsidRDefault="00007259" w:rsidP="00766CA6">
      <w:pPr>
        <w:pStyle w:val="Prrafodelista"/>
        <w:jc w:val="both"/>
        <w:rPr>
          <w:rFonts w:ascii="Verdana" w:hAnsi="Verdana"/>
          <w:sz w:val="20"/>
          <w:szCs w:val="20"/>
        </w:rPr>
      </w:pPr>
    </w:p>
    <w:p w14:paraId="7B673997" w14:textId="77777777" w:rsidR="00007259" w:rsidRDefault="00007259" w:rsidP="00766CA6">
      <w:pPr>
        <w:pStyle w:val="Prrafodelista"/>
        <w:numPr>
          <w:ilvl w:val="0"/>
          <w:numId w:val="5"/>
        </w:numPr>
        <w:ind w:left="567" w:hanging="567"/>
        <w:jc w:val="both"/>
        <w:rPr>
          <w:rFonts w:ascii="Verdana" w:hAnsi="Verdana"/>
          <w:sz w:val="20"/>
          <w:szCs w:val="20"/>
        </w:rPr>
      </w:pPr>
      <w:r w:rsidRPr="00007259">
        <w:rPr>
          <w:rFonts w:ascii="Verdana" w:hAnsi="Verdana"/>
          <w:sz w:val="20"/>
          <w:szCs w:val="20"/>
        </w:rPr>
        <w:t>Identificar e implementar las acciones de mejora y mecanismos de cobertura, incluida la constitución de provisiones, en caso de deterioro de la cartera.</w:t>
      </w:r>
    </w:p>
    <w:p w14:paraId="42194E1E" w14:textId="77777777" w:rsidR="00007259" w:rsidRPr="00007259" w:rsidRDefault="00007259" w:rsidP="00766CA6">
      <w:pPr>
        <w:pStyle w:val="Prrafodelista"/>
        <w:jc w:val="both"/>
        <w:rPr>
          <w:rFonts w:ascii="Verdana" w:hAnsi="Verdana"/>
          <w:sz w:val="20"/>
          <w:szCs w:val="20"/>
        </w:rPr>
      </w:pPr>
    </w:p>
    <w:p w14:paraId="6F1DF918" w14:textId="24AC1DD6" w:rsidR="009F5410" w:rsidRPr="00B35932" w:rsidRDefault="00007259" w:rsidP="00766CA6">
      <w:pPr>
        <w:pStyle w:val="Prrafodelista"/>
        <w:numPr>
          <w:ilvl w:val="0"/>
          <w:numId w:val="5"/>
        </w:numPr>
        <w:ind w:left="567" w:hanging="567"/>
        <w:jc w:val="both"/>
        <w:rPr>
          <w:rFonts w:ascii="Verdana" w:hAnsi="Verdana"/>
          <w:sz w:val="20"/>
          <w:szCs w:val="20"/>
        </w:rPr>
      </w:pPr>
      <w:r w:rsidRPr="00007259">
        <w:rPr>
          <w:rFonts w:ascii="Verdana" w:hAnsi="Verdana"/>
          <w:sz w:val="20"/>
          <w:szCs w:val="20"/>
        </w:rPr>
        <w:t>Incorporar los resultados de las pruebas de estrés y los cambios potenciales en las condiciones económicas en la evaluación de las exposiciones individuales, en la cartera total y en la asignación de capital y constitución de provisiones.</w:t>
      </w:r>
    </w:p>
    <w:p w14:paraId="31162415" w14:textId="47274295" w:rsidR="00CC0C92" w:rsidRPr="007735FE" w:rsidRDefault="00AA7EA0" w:rsidP="00766CA6">
      <w:pPr>
        <w:jc w:val="both"/>
        <w:rPr>
          <w:rFonts w:ascii="Verdana" w:hAnsi="Verdana"/>
          <w:b/>
          <w:bCs/>
          <w:sz w:val="20"/>
          <w:szCs w:val="20"/>
        </w:rPr>
      </w:pPr>
      <w:r>
        <w:rPr>
          <w:rFonts w:ascii="Verdana" w:hAnsi="Verdana"/>
          <w:b/>
          <w:bCs/>
          <w:sz w:val="20"/>
          <w:szCs w:val="20"/>
        </w:rPr>
        <w:t>Ciclo del crédito</w:t>
      </w:r>
    </w:p>
    <w:p w14:paraId="07684AD4" w14:textId="03AA86C1" w:rsidR="007304BA" w:rsidRPr="00D65CB5" w:rsidRDefault="00ED65F0"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Otorgamiento</w:t>
      </w:r>
    </w:p>
    <w:p w14:paraId="5DEF5322" w14:textId="7C7DF68C" w:rsidR="00B35932" w:rsidRPr="0086035E" w:rsidRDefault="00B35932"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2A784E">
        <w:rPr>
          <w:rFonts w:ascii="Verdana" w:hAnsi="Verdana"/>
          <w:sz w:val="20"/>
          <w:szCs w:val="20"/>
        </w:rPr>
        <w:t>20</w:t>
      </w:r>
      <w:r w:rsidRPr="0086035E">
        <w:rPr>
          <w:rFonts w:ascii="Verdana" w:hAnsi="Verdana"/>
          <w:sz w:val="20"/>
          <w:szCs w:val="20"/>
        </w:rPr>
        <w:t>.</w:t>
      </w:r>
    </w:p>
    <w:p w14:paraId="27034B24" w14:textId="77777777" w:rsidR="00CC0C92" w:rsidRPr="00CC0C92" w:rsidRDefault="00CC0C92" w:rsidP="00766CA6">
      <w:pPr>
        <w:jc w:val="both"/>
        <w:rPr>
          <w:rFonts w:ascii="Verdana" w:hAnsi="Verdana"/>
          <w:sz w:val="20"/>
          <w:szCs w:val="20"/>
        </w:rPr>
      </w:pPr>
      <w:r w:rsidRPr="00CC0C92">
        <w:rPr>
          <w:rFonts w:ascii="Verdana" w:hAnsi="Verdana"/>
          <w:sz w:val="20"/>
          <w:szCs w:val="20"/>
        </w:rPr>
        <w:t>La entidad debe definir las características básicas de los sujetos de crédito y los niveles de tolerancia frente al riesgo y discriminar entre sus potenciales clientes para determinar si son sujetos de crédito y definir los niveles de adjudicación para cada uno de ellos.</w:t>
      </w:r>
    </w:p>
    <w:p w14:paraId="44B8E359" w14:textId="1C208D55" w:rsidR="002A784E" w:rsidRPr="0086035E" w:rsidRDefault="002A784E"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21</w:t>
      </w:r>
      <w:r w:rsidRPr="0086035E">
        <w:rPr>
          <w:rFonts w:ascii="Verdana" w:hAnsi="Verdana"/>
          <w:sz w:val="20"/>
          <w:szCs w:val="20"/>
        </w:rPr>
        <w:t>.</w:t>
      </w:r>
    </w:p>
    <w:p w14:paraId="5A189D1B" w14:textId="77777777" w:rsidR="00943C58" w:rsidRPr="009852C8" w:rsidRDefault="00CC0C92" w:rsidP="00766CA6">
      <w:pPr>
        <w:jc w:val="both"/>
        <w:rPr>
          <w:rFonts w:ascii="Verdana" w:hAnsi="Verdana"/>
          <w:sz w:val="20"/>
          <w:szCs w:val="20"/>
        </w:rPr>
      </w:pPr>
      <w:r w:rsidRPr="00CC0C92">
        <w:rPr>
          <w:rFonts w:ascii="Verdana" w:hAnsi="Verdana"/>
          <w:sz w:val="20"/>
          <w:szCs w:val="20"/>
        </w:rPr>
        <w:t>El otorgamiento de crédito de la entidad debe basarse en el conocimiento del sujeto de crédito o contraparte, de su capacidad de pago y de las características del contrato a celebrar entre las partes, que incluyen, entre otros, las condiciones financieras del préstamo, las garantías, las fuentes de pago y las condiciones macroeconómicas a las que pueda estar expuesto.</w:t>
      </w:r>
    </w:p>
    <w:p w14:paraId="7D500772" w14:textId="3B27B8A2" w:rsidR="00943C58" w:rsidRPr="009852C8" w:rsidRDefault="00943C58" w:rsidP="00766CA6">
      <w:pPr>
        <w:pStyle w:val="Prrafodelista"/>
        <w:numPr>
          <w:ilvl w:val="0"/>
          <w:numId w:val="6"/>
        </w:numPr>
        <w:ind w:left="567" w:hanging="283"/>
        <w:jc w:val="both"/>
        <w:rPr>
          <w:rFonts w:ascii="Verdana" w:hAnsi="Verdana"/>
          <w:b/>
          <w:bCs/>
          <w:sz w:val="20"/>
          <w:szCs w:val="20"/>
        </w:rPr>
      </w:pPr>
      <w:r>
        <w:rPr>
          <w:rFonts w:ascii="Verdana" w:hAnsi="Verdana"/>
          <w:b/>
          <w:bCs/>
          <w:sz w:val="20"/>
          <w:szCs w:val="20"/>
        </w:rPr>
        <w:t>Información previa al otorgamiento</w:t>
      </w:r>
    </w:p>
    <w:p w14:paraId="023A9D2C" w14:textId="350EB0BF" w:rsidR="00943C58" w:rsidRPr="0086035E" w:rsidRDefault="00943C58"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22</w:t>
      </w:r>
      <w:r w:rsidRPr="0086035E">
        <w:rPr>
          <w:rFonts w:ascii="Verdana" w:hAnsi="Verdana"/>
          <w:sz w:val="20"/>
          <w:szCs w:val="20"/>
        </w:rPr>
        <w:t>.</w:t>
      </w:r>
    </w:p>
    <w:p w14:paraId="24F4F30C" w14:textId="54F816CF" w:rsidR="0011745B" w:rsidRPr="00D80F71" w:rsidRDefault="0011745B" w:rsidP="00766CA6">
      <w:pPr>
        <w:jc w:val="both"/>
        <w:rPr>
          <w:rFonts w:ascii="Verdana" w:hAnsi="Verdana"/>
          <w:sz w:val="20"/>
          <w:szCs w:val="20"/>
        </w:rPr>
      </w:pPr>
      <w:r w:rsidRPr="00D80F71">
        <w:rPr>
          <w:rFonts w:ascii="Verdana" w:hAnsi="Verdana"/>
          <w:sz w:val="20"/>
          <w:szCs w:val="20"/>
        </w:rPr>
        <w:t>Suministrar</w:t>
      </w:r>
      <w:r w:rsidR="008B7DEE">
        <w:rPr>
          <w:rFonts w:ascii="Verdana" w:hAnsi="Verdana"/>
          <w:sz w:val="20"/>
          <w:szCs w:val="20"/>
        </w:rPr>
        <w:t xml:space="preserve"> </w:t>
      </w:r>
      <w:r w:rsidRPr="00D80F71">
        <w:rPr>
          <w:rFonts w:ascii="Verdana" w:hAnsi="Verdana"/>
          <w:sz w:val="20"/>
          <w:szCs w:val="20"/>
        </w:rPr>
        <w:t>al deudor potencial los términos y condiciones del contrato del crédito antes de que el deudor firme los documentos mediante los cuales se instrumente un crédito o manifieste su aceptación. Para lo anterior la entidad debe informar al deudor de forma comprensible y legible, como mínimo, lo siguiente:</w:t>
      </w:r>
    </w:p>
    <w:p w14:paraId="48E6FB9C" w14:textId="77777777" w:rsidR="00D23D7F" w:rsidRDefault="00D23D7F" w:rsidP="00766CA6">
      <w:pPr>
        <w:pStyle w:val="Prrafodelista"/>
        <w:numPr>
          <w:ilvl w:val="0"/>
          <w:numId w:val="7"/>
        </w:numPr>
        <w:ind w:left="567" w:hanging="567"/>
        <w:jc w:val="both"/>
        <w:rPr>
          <w:rFonts w:ascii="Verdana" w:hAnsi="Verdana"/>
          <w:sz w:val="20"/>
          <w:szCs w:val="20"/>
        </w:rPr>
      </w:pPr>
      <w:r w:rsidRPr="00D23D7F">
        <w:rPr>
          <w:rFonts w:ascii="Verdana" w:hAnsi="Verdana"/>
          <w:sz w:val="20"/>
          <w:szCs w:val="20"/>
        </w:rPr>
        <w:t>La tasa de interés, indicando la periodicidad de pago (vencida o anticipada) y si es fija o variable a lo largo de la vida del crédito, señalando su equivalente en tasa efectiva anual. Si la tasa es variable, debe quedar claro cuál es el índice al que quedará atada su variación y el margen.</w:t>
      </w:r>
    </w:p>
    <w:p w14:paraId="611F7D4E" w14:textId="77777777" w:rsidR="00D23D7F" w:rsidRDefault="00D23D7F" w:rsidP="00766CA6">
      <w:pPr>
        <w:pStyle w:val="Prrafodelista"/>
        <w:ind w:left="567"/>
        <w:jc w:val="both"/>
        <w:rPr>
          <w:rFonts w:ascii="Verdana" w:hAnsi="Verdana"/>
          <w:sz w:val="20"/>
          <w:szCs w:val="20"/>
        </w:rPr>
      </w:pPr>
    </w:p>
    <w:p w14:paraId="24A12BE9" w14:textId="77777777" w:rsidR="00D23D7F" w:rsidRDefault="00D23D7F" w:rsidP="00766CA6">
      <w:pPr>
        <w:pStyle w:val="Prrafodelista"/>
        <w:numPr>
          <w:ilvl w:val="0"/>
          <w:numId w:val="7"/>
        </w:numPr>
        <w:ind w:left="567" w:hanging="567"/>
        <w:jc w:val="both"/>
        <w:rPr>
          <w:rFonts w:ascii="Verdana" w:hAnsi="Verdana"/>
          <w:sz w:val="20"/>
          <w:szCs w:val="20"/>
        </w:rPr>
      </w:pPr>
      <w:r w:rsidRPr="00D23D7F">
        <w:rPr>
          <w:rFonts w:ascii="Verdana" w:hAnsi="Verdana"/>
          <w:sz w:val="20"/>
          <w:szCs w:val="20"/>
        </w:rPr>
        <w:t>La base de capital sobre la cual se aplicará la tasa de interés.</w:t>
      </w:r>
    </w:p>
    <w:p w14:paraId="561E4A28" w14:textId="77777777" w:rsidR="00D23D7F" w:rsidRPr="00D23D7F" w:rsidRDefault="00D23D7F" w:rsidP="00766CA6">
      <w:pPr>
        <w:pStyle w:val="Prrafodelista"/>
        <w:jc w:val="both"/>
        <w:rPr>
          <w:rFonts w:ascii="Verdana" w:hAnsi="Verdana"/>
          <w:sz w:val="20"/>
          <w:szCs w:val="20"/>
        </w:rPr>
      </w:pPr>
    </w:p>
    <w:p w14:paraId="6E8D0BC0" w14:textId="77777777" w:rsidR="00D23D7F" w:rsidRDefault="00D23D7F" w:rsidP="00766CA6">
      <w:pPr>
        <w:pStyle w:val="Prrafodelista"/>
        <w:numPr>
          <w:ilvl w:val="0"/>
          <w:numId w:val="7"/>
        </w:numPr>
        <w:ind w:left="567" w:hanging="567"/>
        <w:jc w:val="both"/>
        <w:rPr>
          <w:rFonts w:ascii="Verdana" w:hAnsi="Verdana"/>
          <w:sz w:val="20"/>
          <w:szCs w:val="20"/>
        </w:rPr>
      </w:pPr>
      <w:r w:rsidRPr="00D23D7F">
        <w:rPr>
          <w:rFonts w:ascii="Verdana" w:hAnsi="Verdana"/>
          <w:sz w:val="20"/>
          <w:szCs w:val="20"/>
        </w:rPr>
        <w:t>La tasa de interés de mora.</w:t>
      </w:r>
    </w:p>
    <w:p w14:paraId="3408B43F" w14:textId="77777777" w:rsidR="00D23D7F" w:rsidRPr="00D23D7F" w:rsidRDefault="00D23D7F" w:rsidP="00766CA6">
      <w:pPr>
        <w:pStyle w:val="Prrafodelista"/>
        <w:jc w:val="both"/>
        <w:rPr>
          <w:rFonts w:ascii="Verdana" w:hAnsi="Verdana"/>
          <w:sz w:val="20"/>
          <w:szCs w:val="20"/>
        </w:rPr>
      </w:pPr>
    </w:p>
    <w:p w14:paraId="00813942" w14:textId="77777777" w:rsidR="007F3FB8" w:rsidRDefault="00D23D7F" w:rsidP="00766CA6">
      <w:pPr>
        <w:pStyle w:val="Prrafodelista"/>
        <w:numPr>
          <w:ilvl w:val="0"/>
          <w:numId w:val="7"/>
        </w:numPr>
        <w:ind w:left="567" w:hanging="567"/>
        <w:jc w:val="both"/>
        <w:rPr>
          <w:rFonts w:ascii="Verdana" w:hAnsi="Verdana"/>
          <w:sz w:val="20"/>
          <w:szCs w:val="20"/>
        </w:rPr>
      </w:pPr>
      <w:r w:rsidRPr="00D23D7F">
        <w:rPr>
          <w:rFonts w:ascii="Verdana" w:hAnsi="Verdana"/>
          <w:sz w:val="20"/>
          <w:szCs w:val="20"/>
        </w:rPr>
        <w:t>Las comisiones y recargos que se aplicarán.</w:t>
      </w:r>
    </w:p>
    <w:p w14:paraId="787E43E8" w14:textId="77777777" w:rsidR="007F3FB8" w:rsidRPr="007F3FB8" w:rsidRDefault="007F3FB8" w:rsidP="00766CA6">
      <w:pPr>
        <w:pStyle w:val="Prrafodelista"/>
        <w:jc w:val="both"/>
        <w:rPr>
          <w:rFonts w:ascii="Verdana" w:hAnsi="Verdana"/>
          <w:sz w:val="20"/>
          <w:szCs w:val="20"/>
        </w:rPr>
      </w:pPr>
    </w:p>
    <w:p w14:paraId="717F701C" w14:textId="77777777" w:rsidR="007F3FB8" w:rsidRDefault="00D23D7F" w:rsidP="00766CA6">
      <w:pPr>
        <w:pStyle w:val="Prrafodelista"/>
        <w:numPr>
          <w:ilvl w:val="0"/>
          <w:numId w:val="7"/>
        </w:numPr>
        <w:ind w:left="567" w:hanging="567"/>
        <w:jc w:val="both"/>
        <w:rPr>
          <w:rFonts w:ascii="Verdana" w:hAnsi="Verdana"/>
          <w:sz w:val="20"/>
          <w:szCs w:val="20"/>
        </w:rPr>
      </w:pPr>
      <w:r w:rsidRPr="007F3FB8">
        <w:rPr>
          <w:rFonts w:ascii="Verdana" w:hAnsi="Verdana"/>
          <w:sz w:val="20"/>
          <w:szCs w:val="20"/>
        </w:rPr>
        <w:t>El plazo del préstamo (períodos muertos, de gracia, entre otros).</w:t>
      </w:r>
    </w:p>
    <w:p w14:paraId="40FCC826" w14:textId="77777777" w:rsidR="007F3FB8" w:rsidRPr="007F3FB8" w:rsidRDefault="007F3FB8" w:rsidP="00766CA6">
      <w:pPr>
        <w:pStyle w:val="Prrafodelista"/>
        <w:jc w:val="both"/>
        <w:rPr>
          <w:rFonts w:ascii="Verdana" w:hAnsi="Verdana"/>
          <w:sz w:val="20"/>
          <w:szCs w:val="20"/>
        </w:rPr>
      </w:pPr>
    </w:p>
    <w:p w14:paraId="2B7989C3" w14:textId="77777777" w:rsidR="007F3FB8" w:rsidRDefault="00D23D7F" w:rsidP="00766CA6">
      <w:pPr>
        <w:pStyle w:val="Prrafodelista"/>
        <w:numPr>
          <w:ilvl w:val="0"/>
          <w:numId w:val="7"/>
        </w:numPr>
        <w:ind w:left="567" w:hanging="567"/>
        <w:jc w:val="both"/>
        <w:rPr>
          <w:rFonts w:ascii="Verdana" w:hAnsi="Verdana"/>
          <w:sz w:val="20"/>
          <w:szCs w:val="20"/>
        </w:rPr>
      </w:pPr>
      <w:r w:rsidRPr="007F3FB8">
        <w:rPr>
          <w:rFonts w:ascii="Verdana" w:hAnsi="Verdana"/>
          <w:sz w:val="20"/>
          <w:szCs w:val="20"/>
        </w:rPr>
        <w:t>Las condiciones de prepago.</w:t>
      </w:r>
    </w:p>
    <w:p w14:paraId="70A6D7E7" w14:textId="77777777" w:rsidR="007F3FB8" w:rsidRPr="007F3FB8" w:rsidRDefault="007F3FB8" w:rsidP="00766CA6">
      <w:pPr>
        <w:pStyle w:val="Prrafodelista"/>
        <w:jc w:val="both"/>
        <w:rPr>
          <w:rFonts w:ascii="Verdana" w:hAnsi="Verdana"/>
          <w:sz w:val="20"/>
          <w:szCs w:val="20"/>
        </w:rPr>
      </w:pPr>
    </w:p>
    <w:p w14:paraId="5B196793" w14:textId="77777777" w:rsidR="007F3FB8" w:rsidRDefault="00D23D7F" w:rsidP="00766CA6">
      <w:pPr>
        <w:pStyle w:val="Prrafodelista"/>
        <w:numPr>
          <w:ilvl w:val="0"/>
          <w:numId w:val="7"/>
        </w:numPr>
        <w:ind w:left="567" w:hanging="567"/>
        <w:jc w:val="both"/>
        <w:rPr>
          <w:rFonts w:ascii="Verdana" w:hAnsi="Verdana"/>
          <w:sz w:val="20"/>
          <w:szCs w:val="20"/>
        </w:rPr>
      </w:pPr>
      <w:r w:rsidRPr="007F3FB8">
        <w:rPr>
          <w:rFonts w:ascii="Verdana" w:hAnsi="Verdana"/>
          <w:sz w:val="20"/>
          <w:szCs w:val="20"/>
        </w:rPr>
        <w:t>Los derechos de la entidad en caso de incumplimiento por parte del deudor.</w:t>
      </w:r>
    </w:p>
    <w:p w14:paraId="78A76650" w14:textId="77777777" w:rsidR="007F3FB8" w:rsidRPr="007F3FB8" w:rsidRDefault="007F3FB8" w:rsidP="00766CA6">
      <w:pPr>
        <w:pStyle w:val="Prrafodelista"/>
        <w:jc w:val="both"/>
        <w:rPr>
          <w:rFonts w:ascii="Verdana" w:hAnsi="Verdana"/>
          <w:sz w:val="20"/>
          <w:szCs w:val="20"/>
        </w:rPr>
      </w:pPr>
    </w:p>
    <w:p w14:paraId="06BB89E3" w14:textId="6FE97D58" w:rsidR="007F3FB8" w:rsidRDefault="00D23D7F" w:rsidP="00766CA6">
      <w:pPr>
        <w:pStyle w:val="Prrafodelista"/>
        <w:numPr>
          <w:ilvl w:val="0"/>
          <w:numId w:val="7"/>
        </w:numPr>
        <w:ind w:left="567" w:hanging="567"/>
        <w:jc w:val="both"/>
        <w:rPr>
          <w:rFonts w:ascii="Verdana" w:hAnsi="Verdana"/>
          <w:sz w:val="20"/>
          <w:szCs w:val="20"/>
        </w:rPr>
      </w:pPr>
      <w:r w:rsidRPr="007F3FB8">
        <w:rPr>
          <w:rFonts w:ascii="Verdana" w:hAnsi="Verdana"/>
          <w:sz w:val="20"/>
          <w:szCs w:val="20"/>
        </w:rPr>
        <w:t xml:space="preserve">Los derechos del deudor, en particular los que se refieren al acceso a la información sobre la calificación de riesgo de sus obligaciones con la entidad, de acuerdo con lo dispuesto en </w:t>
      </w:r>
      <w:r w:rsidR="00603003">
        <w:rPr>
          <w:rFonts w:ascii="Verdana" w:hAnsi="Verdana"/>
          <w:sz w:val="20"/>
          <w:szCs w:val="20"/>
        </w:rPr>
        <w:t xml:space="preserve">los párrafos 1.1.3.77. y 1.1.3.78. de la </w:t>
      </w:r>
      <w:r w:rsidR="00F5486D">
        <w:rPr>
          <w:rFonts w:ascii="Verdana" w:hAnsi="Verdana"/>
          <w:sz w:val="20"/>
          <w:szCs w:val="20"/>
        </w:rPr>
        <w:t>CBF</w:t>
      </w:r>
      <w:r w:rsidR="00603003">
        <w:rPr>
          <w:rFonts w:ascii="Verdana" w:hAnsi="Verdana"/>
          <w:sz w:val="20"/>
          <w:szCs w:val="20"/>
        </w:rPr>
        <w:t>.</w:t>
      </w:r>
    </w:p>
    <w:p w14:paraId="63A58A20" w14:textId="77777777" w:rsidR="007F3FB8" w:rsidRPr="007F3FB8" w:rsidRDefault="007F3FB8" w:rsidP="00766CA6">
      <w:pPr>
        <w:pStyle w:val="Prrafodelista"/>
        <w:jc w:val="both"/>
        <w:rPr>
          <w:rFonts w:ascii="Verdana" w:hAnsi="Verdana"/>
          <w:sz w:val="20"/>
          <w:szCs w:val="20"/>
        </w:rPr>
      </w:pPr>
    </w:p>
    <w:p w14:paraId="7A11408F" w14:textId="77777777" w:rsidR="00FA7A73" w:rsidRDefault="00D23D7F" w:rsidP="00766CA6">
      <w:pPr>
        <w:pStyle w:val="Prrafodelista"/>
        <w:numPr>
          <w:ilvl w:val="0"/>
          <w:numId w:val="7"/>
        </w:numPr>
        <w:ind w:left="567" w:hanging="567"/>
        <w:jc w:val="both"/>
        <w:rPr>
          <w:rFonts w:ascii="Verdana" w:hAnsi="Verdana"/>
          <w:sz w:val="20"/>
          <w:szCs w:val="20"/>
        </w:rPr>
      </w:pPr>
      <w:r w:rsidRPr="007F3FB8">
        <w:rPr>
          <w:rFonts w:ascii="Verdana" w:hAnsi="Verdana"/>
          <w:sz w:val="20"/>
          <w:szCs w:val="20"/>
        </w:rPr>
        <w:t>En general, toda la información que resulte relevante y necesaria para facilitar la adecuada comprensión del alcance de los derechos y obligaciones del acreedor y los mecanismos que aseguren su eficaz ejercicio.</w:t>
      </w:r>
    </w:p>
    <w:p w14:paraId="02E69D4C" w14:textId="77777777" w:rsidR="00FA7A73" w:rsidRPr="00FA7A73" w:rsidRDefault="00FA7A73" w:rsidP="00766CA6">
      <w:pPr>
        <w:pStyle w:val="Prrafodelista"/>
        <w:jc w:val="both"/>
        <w:rPr>
          <w:rFonts w:ascii="Verdana" w:hAnsi="Verdana"/>
          <w:sz w:val="20"/>
          <w:szCs w:val="20"/>
        </w:rPr>
      </w:pPr>
    </w:p>
    <w:p w14:paraId="20CC8563" w14:textId="35AB32C5" w:rsidR="00FA7A73" w:rsidRPr="008C499F" w:rsidRDefault="00FA7A73" w:rsidP="00766CA6">
      <w:pPr>
        <w:pStyle w:val="Prrafodelista"/>
        <w:numPr>
          <w:ilvl w:val="0"/>
          <w:numId w:val="6"/>
        </w:numPr>
        <w:ind w:left="567" w:hanging="283"/>
        <w:jc w:val="both"/>
        <w:rPr>
          <w:rFonts w:ascii="Verdana" w:hAnsi="Verdana"/>
          <w:b/>
          <w:bCs/>
          <w:sz w:val="20"/>
          <w:szCs w:val="20"/>
        </w:rPr>
      </w:pPr>
      <w:r w:rsidRPr="008C499F">
        <w:rPr>
          <w:rFonts w:ascii="Verdana" w:hAnsi="Verdana"/>
          <w:b/>
          <w:bCs/>
          <w:sz w:val="20"/>
          <w:szCs w:val="20"/>
        </w:rPr>
        <w:t>Selección de variables y segmentación de portafolios</w:t>
      </w:r>
    </w:p>
    <w:p w14:paraId="259CA03F" w14:textId="51DA2DE2" w:rsidR="00FA7A73" w:rsidRPr="0086035E" w:rsidRDefault="00FA7A73"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8C499F">
        <w:rPr>
          <w:rFonts w:ascii="Verdana" w:hAnsi="Verdana"/>
          <w:sz w:val="20"/>
          <w:szCs w:val="20"/>
        </w:rPr>
        <w:t>3</w:t>
      </w:r>
      <w:r w:rsidRPr="0086035E">
        <w:rPr>
          <w:rFonts w:ascii="Verdana" w:hAnsi="Verdana"/>
          <w:sz w:val="20"/>
          <w:szCs w:val="20"/>
        </w:rPr>
        <w:t>.</w:t>
      </w:r>
    </w:p>
    <w:p w14:paraId="2FAC7AD9" w14:textId="1E03D7CF" w:rsidR="002C5E04" w:rsidRDefault="00FA7A73" w:rsidP="00766CA6">
      <w:pPr>
        <w:jc w:val="both"/>
        <w:rPr>
          <w:rFonts w:ascii="Verdana" w:hAnsi="Verdana"/>
          <w:sz w:val="20"/>
          <w:szCs w:val="20"/>
        </w:rPr>
      </w:pPr>
      <w:r w:rsidRPr="00FA7A73">
        <w:rPr>
          <w:rFonts w:ascii="Verdana" w:hAnsi="Verdana"/>
          <w:sz w:val="20"/>
          <w:szCs w:val="20"/>
        </w:rPr>
        <w:t>Tener claramente definido</w:t>
      </w:r>
      <w:r w:rsidR="00195200">
        <w:rPr>
          <w:rFonts w:ascii="Verdana" w:hAnsi="Verdana"/>
          <w:sz w:val="20"/>
          <w:szCs w:val="20"/>
        </w:rPr>
        <w:t>s, de acuerdo con las políticas internas,</w:t>
      </w:r>
      <w:r w:rsidRPr="00FA7A73">
        <w:rPr>
          <w:rFonts w:ascii="Verdana" w:hAnsi="Verdana"/>
          <w:sz w:val="20"/>
          <w:szCs w:val="20"/>
        </w:rPr>
        <w:t xml:space="preserve"> los mercados, segmentos, sectores, productos y perfil del cliente objetivo, que sean acordes con el plan de negocio, apetito de riesgo y umbrales y límites definidos por la entidad y </w:t>
      </w:r>
      <w:r w:rsidR="000E5F4D">
        <w:rPr>
          <w:rFonts w:ascii="Verdana" w:hAnsi="Verdana"/>
          <w:sz w:val="20"/>
          <w:szCs w:val="20"/>
        </w:rPr>
        <w:t xml:space="preserve">los </w:t>
      </w:r>
      <w:r w:rsidRPr="00FA7A73">
        <w:rPr>
          <w:rFonts w:ascii="Verdana" w:hAnsi="Verdana"/>
          <w:sz w:val="20"/>
          <w:szCs w:val="20"/>
        </w:rPr>
        <w:t>regulatorios.</w:t>
      </w:r>
    </w:p>
    <w:p w14:paraId="20D9B2C2" w14:textId="294EA858" w:rsidR="002C5E04" w:rsidRPr="0086035E" w:rsidRDefault="002C5E04"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24</w:t>
      </w:r>
      <w:r w:rsidRPr="0086035E">
        <w:rPr>
          <w:rFonts w:ascii="Verdana" w:hAnsi="Verdana"/>
          <w:sz w:val="20"/>
          <w:szCs w:val="20"/>
        </w:rPr>
        <w:t>.</w:t>
      </w:r>
    </w:p>
    <w:p w14:paraId="086ABF02" w14:textId="069AA717" w:rsidR="00007259" w:rsidRDefault="002C5E04" w:rsidP="00766CA6">
      <w:pPr>
        <w:jc w:val="both"/>
        <w:rPr>
          <w:rFonts w:ascii="Verdana" w:hAnsi="Verdana"/>
          <w:sz w:val="20"/>
          <w:szCs w:val="20"/>
        </w:rPr>
      </w:pPr>
      <w:r w:rsidRPr="002C5E04">
        <w:rPr>
          <w:rFonts w:ascii="Verdana" w:hAnsi="Verdana"/>
          <w:sz w:val="20"/>
          <w:szCs w:val="20"/>
        </w:rPr>
        <w:t xml:space="preserve">Para definir los sujetos que son elegibles para </w:t>
      </w:r>
      <w:r w:rsidR="001C17B4">
        <w:rPr>
          <w:rFonts w:ascii="Verdana" w:hAnsi="Verdana"/>
          <w:sz w:val="20"/>
          <w:szCs w:val="20"/>
        </w:rPr>
        <w:t xml:space="preserve">aprobar y </w:t>
      </w:r>
      <w:r w:rsidRPr="002C5E04">
        <w:rPr>
          <w:rFonts w:ascii="Verdana" w:hAnsi="Verdana"/>
          <w:sz w:val="20"/>
          <w:szCs w:val="20"/>
        </w:rPr>
        <w:t>otorgar un crédito, la entidad debe establecer para cada uno de los portafolios identificados, las variables que con mayor relevancia permiten identificar los sujetos que son elegibles para otorgarle crédito que se ajustan al apetito y al perfil de riesgo de la entidad. La selección de estas variables de discriminación y la importancia relativa que se dé a cada una de ellas, debe ser un elemento determinante tanto en el otorgamiento como en el monitoreo de los créditos de cada portafolio. En este sentido, la metodología utilizada debe considerar la combinación de criterios cuantitativos y cualitativos, objetivos y subjetivos, de</w:t>
      </w:r>
      <w:r w:rsidR="005C72F3">
        <w:rPr>
          <w:rFonts w:ascii="Verdana" w:hAnsi="Verdana"/>
          <w:sz w:val="20"/>
          <w:szCs w:val="20"/>
        </w:rPr>
        <w:t xml:space="preserve">finidos de </w:t>
      </w:r>
      <w:r w:rsidR="005C72F3" w:rsidRPr="002C5E04">
        <w:rPr>
          <w:rFonts w:ascii="Verdana" w:hAnsi="Verdana"/>
          <w:sz w:val="20"/>
          <w:szCs w:val="20"/>
        </w:rPr>
        <w:t>acuerdo</w:t>
      </w:r>
      <w:r w:rsidRPr="002C5E04">
        <w:rPr>
          <w:rFonts w:ascii="Verdana" w:hAnsi="Verdana"/>
          <w:sz w:val="20"/>
          <w:szCs w:val="20"/>
        </w:rPr>
        <w:t xml:space="preserve"> con la experiencia y las políticas de la entidad. Esta metodología debe ser evaluada como mínimo 2 veces al año, al finalizar los meses de mayo y noviembre, con el fin de verificar su idoneidad y la relevancia de las variables.</w:t>
      </w:r>
    </w:p>
    <w:p w14:paraId="0E00348B" w14:textId="79541E76" w:rsidR="00C06A33" w:rsidRPr="0086035E" w:rsidRDefault="00C06A33"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25</w:t>
      </w:r>
      <w:r w:rsidRPr="0086035E">
        <w:rPr>
          <w:rFonts w:ascii="Verdana" w:hAnsi="Verdana"/>
          <w:sz w:val="20"/>
          <w:szCs w:val="20"/>
        </w:rPr>
        <w:t>.</w:t>
      </w:r>
    </w:p>
    <w:p w14:paraId="742EE606" w14:textId="7FFFF2FF" w:rsidR="009852C8" w:rsidRPr="009852C8" w:rsidRDefault="00C06A33" w:rsidP="00766CA6">
      <w:pPr>
        <w:jc w:val="both"/>
        <w:rPr>
          <w:rFonts w:ascii="Verdana" w:hAnsi="Verdana"/>
          <w:sz w:val="20"/>
          <w:szCs w:val="20"/>
        </w:rPr>
      </w:pPr>
      <w:r w:rsidRPr="00C06A33">
        <w:rPr>
          <w:rFonts w:ascii="Verdana" w:hAnsi="Verdana"/>
          <w:sz w:val="20"/>
          <w:szCs w:val="20"/>
        </w:rPr>
        <w:t>Los procesos de segmentación y discriminación de los portafolios de crédito y de sus posibles clientes para otorgarle crédito deben servir de base para su calificación. De igual forma, las metodologías y procedimientos implantados en el proceso de otorgamiento deben permitir monitorear y controlar la exposición crediticia de los diferentes portafolios, así como la del portafolio agregado, de conformidad con los límites establecidos por la JD. Se deben definir criterios sobre la forma como se orienta y diversifica el portafolio de crédito de la entidad, evitando una excesiva concentración de crédito por deudor, sector económico, grupo económico, factor de riesgo, entre otros.</w:t>
      </w:r>
    </w:p>
    <w:p w14:paraId="463B6565" w14:textId="2E4ABE9C" w:rsidR="009852C8" w:rsidRPr="009852C8" w:rsidRDefault="009852C8" w:rsidP="00766CA6">
      <w:pPr>
        <w:pStyle w:val="Prrafodelista"/>
        <w:numPr>
          <w:ilvl w:val="0"/>
          <w:numId w:val="6"/>
        </w:numPr>
        <w:ind w:left="567" w:hanging="283"/>
        <w:jc w:val="both"/>
        <w:rPr>
          <w:rFonts w:ascii="Verdana" w:hAnsi="Verdana"/>
          <w:b/>
          <w:bCs/>
          <w:sz w:val="20"/>
          <w:szCs w:val="20"/>
        </w:rPr>
      </w:pPr>
      <w:r w:rsidRPr="009852C8">
        <w:rPr>
          <w:rFonts w:ascii="Verdana" w:hAnsi="Verdana"/>
          <w:b/>
          <w:bCs/>
          <w:sz w:val="20"/>
          <w:szCs w:val="20"/>
        </w:rPr>
        <w:t>Capacidad de pago del deudor</w:t>
      </w:r>
    </w:p>
    <w:p w14:paraId="447834E2" w14:textId="7E340FB0" w:rsidR="009852C8" w:rsidRPr="0086035E" w:rsidRDefault="009852C8"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26</w:t>
      </w:r>
      <w:r w:rsidRPr="0086035E">
        <w:rPr>
          <w:rFonts w:ascii="Verdana" w:hAnsi="Verdana"/>
          <w:sz w:val="20"/>
          <w:szCs w:val="20"/>
        </w:rPr>
        <w:t>.</w:t>
      </w:r>
    </w:p>
    <w:p w14:paraId="2E0C10DC" w14:textId="77777777" w:rsidR="00FF1FAC" w:rsidRDefault="009852C8" w:rsidP="00766CA6">
      <w:pPr>
        <w:jc w:val="both"/>
        <w:rPr>
          <w:rFonts w:ascii="Verdana" w:hAnsi="Verdana"/>
          <w:sz w:val="20"/>
          <w:szCs w:val="20"/>
        </w:rPr>
      </w:pPr>
      <w:r w:rsidRPr="009852C8">
        <w:rPr>
          <w:rFonts w:ascii="Verdana" w:hAnsi="Verdana"/>
          <w:sz w:val="20"/>
          <w:szCs w:val="20"/>
        </w:rPr>
        <w:t>Realizar una evaluación comprensiva de la capacidad de pago del deudor o proyecto a financiar, la cual es fundamental para determinar la probabilidad de incumplimiento del respectivo crédito. Para estos efectos, debe entenderse que el mismo análisis debe hacerse para los codeudores, avalistas, deudores solidarios y, en general, a cualquier persona natural o jurídica que resulte o pueda resultar directa o indirectamente obligada al pago de los créditos.</w:t>
      </w:r>
    </w:p>
    <w:p w14:paraId="5D6C4598" w14:textId="70D0398A" w:rsidR="00FF1FAC" w:rsidRPr="0086035E" w:rsidRDefault="00FF1FAC"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27</w:t>
      </w:r>
      <w:r w:rsidRPr="0086035E">
        <w:rPr>
          <w:rFonts w:ascii="Verdana" w:hAnsi="Verdana"/>
          <w:sz w:val="20"/>
          <w:szCs w:val="20"/>
        </w:rPr>
        <w:t>.</w:t>
      </w:r>
    </w:p>
    <w:p w14:paraId="5FBA8FD6" w14:textId="2AAAA233" w:rsidR="00EB4571" w:rsidRDefault="00FF1FAC" w:rsidP="00766CA6">
      <w:pPr>
        <w:jc w:val="both"/>
        <w:rPr>
          <w:rFonts w:ascii="Verdana" w:hAnsi="Verdana"/>
          <w:sz w:val="20"/>
          <w:szCs w:val="20"/>
        </w:rPr>
      </w:pPr>
      <w:r w:rsidRPr="00FF1FAC">
        <w:rPr>
          <w:rFonts w:ascii="Verdana" w:hAnsi="Verdana"/>
          <w:sz w:val="20"/>
          <w:szCs w:val="20"/>
        </w:rPr>
        <w:t xml:space="preserve">Para evaluar esta capacidad de pago, la entidad debe analizar, </w:t>
      </w:r>
      <w:r w:rsidR="00FA2C05">
        <w:rPr>
          <w:rFonts w:ascii="Verdana" w:hAnsi="Verdana"/>
          <w:sz w:val="20"/>
          <w:szCs w:val="20"/>
        </w:rPr>
        <w:t>como mínimo</w:t>
      </w:r>
      <w:r w:rsidRPr="00FF1FAC">
        <w:rPr>
          <w:rFonts w:ascii="Verdana" w:hAnsi="Verdana"/>
          <w:sz w:val="20"/>
          <w:szCs w:val="20"/>
        </w:rPr>
        <w:t xml:space="preserve"> la siguiente información, sin perjuicio de las variables de riesgo adicionales que establezca la entidad</w:t>
      </w:r>
      <w:r w:rsidR="00057BE9">
        <w:rPr>
          <w:rFonts w:ascii="Verdana" w:hAnsi="Verdana"/>
          <w:sz w:val="20"/>
          <w:szCs w:val="20"/>
        </w:rPr>
        <w:t>,</w:t>
      </w:r>
      <w:r w:rsidR="00876209">
        <w:rPr>
          <w:rFonts w:ascii="Verdana" w:hAnsi="Verdana"/>
          <w:sz w:val="20"/>
          <w:szCs w:val="20"/>
        </w:rPr>
        <w:t xml:space="preserve"> </w:t>
      </w:r>
      <w:r w:rsidR="00E05FDE">
        <w:rPr>
          <w:rFonts w:ascii="Verdana" w:hAnsi="Verdana"/>
          <w:sz w:val="20"/>
          <w:szCs w:val="20"/>
        </w:rPr>
        <w:t xml:space="preserve">las </w:t>
      </w:r>
      <w:r w:rsidR="00B658B1">
        <w:rPr>
          <w:rFonts w:ascii="Verdana" w:hAnsi="Verdana"/>
          <w:sz w:val="20"/>
          <w:szCs w:val="20"/>
        </w:rPr>
        <w:t>cuales</w:t>
      </w:r>
      <w:r w:rsidR="00A116C4">
        <w:rPr>
          <w:rFonts w:ascii="Verdana" w:hAnsi="Verdana"/>
          <w:sz w:val="20"/>
          <w:szCs w:val="20"/>
        </w:rPr>
        <w:t xml:space="preserve"> </w:t>
      </w:r>
      <w:r w:rsidR="00665BBF">
        <w:rPr>
          <w:rFonts w:ascii="Verdana" w:hAnsi="Verdana"/>
          <w:sz w:val="20"/>
          <w:szCs w:val="20"/>
        </w:rPr>
        <w:t xml:space="preserve">deben </w:t>
      </w:r>
      <w:r w:rsidR="00E05FDE" w:rsidRPr="009E7CA0">
        <w:rPr>
          <w:rFonts w:ascii="Verdana" w:hAnsi="Verdana"/>
          <w:sz w:val="20"/>
          <w:szCs w:val="20"/>
        </w:rPr>
        <w:t xml:space="preserve">contar con </w:t>
      </w:r>
      <w:r w:rsidR="00C6324A">
        <w:rPr>
          <w:rFonts w:ascii="Verdana" w:hAnsi="Verdana"/>
          <w:sz w:val="20"/>
          <w:szCs w:val="20"/>
        </w:rPr>
        <w:t xml:space="preserve">un </w:t>
      </w:r>
      <w:r w:rsidR="00E05FDE" w:rsidRPr="009E7CA0">
        <w:rPr>
          <w:rFonts w:ascii="Verdana" w:hAnsi="Verdana"/>
          <w:sz w:val="20"/>
          <w:szCs w:val="20"/>
        </w:rPr>
        <w:t xml:space="preserve">análisis técnico que sustente </w:t>
      </w:r>
      <w:r w:rsidR="00232FC5">
        <w:rPr>
          <w:rFonts w:ascii="Verdana" w:hAnsi="Verdana"/>
          <w:sz w:val="20"/>
          <w:szCs w:val="20"/>
        </w:rPr>
        <w:t>su pertinencia</w:t>
      </w:r>
      <w:r w:rsidR="006A4D46" w:rsidRPr="009E7CA0">
        <w:rPr>
          <w:rFonts w:ascii="Verdana" w:hAnsi="Verdana"/>
          <w:sz w:val="20"/>
          <w:szCs w:val="20"/>
        </w:rPr>
        <w:t xml:space="preserve"> </w:t>
      </w:r>
      <w:r w:rsidR="00FE2B65">
        <w:rPr>
          <w:rFonts w:ascii="Verdana" w:hAnsi="Verdana"/>
          <w:sz w:val="20"/>
          <w:szCs w:val="20"/>
        </w:rPr>
        <w:t xml:space="preserve">para </w:t>
      </w:r>
      <w:r w:rsidR="00232FC5">
        <w:rPr>
          <w:rFonts w:ascii="Verdana" w:hAnsi="Verdana"/>
          <w:sz w:val="20"/>
          <w:szCs w:val="20"/>
        </w:rPr>
        <w:t>ev</w:t>
      </w:r>
      <w:r w:rsidR="000E1C2D">
        <w:rPr>
          <w:rFonts w:ascii="Verdana" w:hAnsi="Verdana"/>
          <w:sz w:val="20"/>
          <w:szCs w:val="20"/>
        </w:rPr>
        <w:t>aluar</w:t>
      </w:r>
      <w:r w:rsidR="00FE2B65">
        <w:rPr>
          <w:rFonts w:ascii="Verdana" w:hAnsi="Verdana"/>
          <w:sz w:val="20"/>
          <w:szCs w:val="20"/>
        </w:rPr>
        <w:t xml:space="preserve"> la </w:t>
      </w:r>
      <w:r w:rsidR="000E1C2D">
        <w:rPr>
          <w:rFonts w:ascii="Verdana" w:hAnsi="Verdana"/>
          <w:sz w:val="20"/>
          <w:szCs w:val="20"/>
        </w:rPr>
        <w:t>capacidad de pago</w:t>
      </w:r>
      <w:r w:rsidRPr="00FF1FAC">
        <w:rPr>
          <w:rFonts w:ascii="Verdana" w:hAnsi="Verdana"/>
          <w:sz w:val="20"/>
          <w:szCs w:val="20"/>
        </w:rPr>
        <w:t>:</w:t>
      </w:r>
    </w:p>
    <w:p w14:paraId="735A88A7" w14:textId="77777777" w:rsidR="00EB4571" w:rsidRDefault="00EB4571" w:rsidP="00766CA6">
      <w:pPr>
        <w:pStyle w:val="Prrafodelista"/>
        <w:numPr>
          <w:ilvl w:val="0"/>
          <w:numId w:val="8"/>
        </w:numPr>
        <w:ind w:left="567" w:hanging="567"/>
        <w:jc w:val="both"/>
        <w:rPr>
          <w:rFonts w:ascii="Verdana" w:hAnsi="Verdana"/>
          <w:sz w:val="20"/>
          <w:szCs w:val="20"/>
        </w:rPr>
      </w:pPr>
      <w:r w:rsidRPr="00EB4571">
        <w:rPr>
          <w:rFonts w:ascii="Verdana" w:hAnsi="Verdana"/>
          <w:sz w:val="20"/>
          <w:szCs w:val="20"/>
        </w:rPr>
        <w:t>Los flujos de ingresos y egresos, así como el flujo de caja del deudor y/o del proyecto financiado o a financiar.</w:t>
      </w:r>
    </w:p>
    <w:p w14:paraId="54162EBE" w14:textId="77777777" w:rsidR="00EB4571" w:rsidRDefault="00EB4571" w:rsidP="00766CA6">
      <w:pPr>
        <w:pStyle w:val="Prrafodelista"/>
        <w:ind w:left="567"/>
        <w:jc w:val="both"/>
        <w:rPr>
          <w:rFonts w:ascii="Verdana" w:hAnsi="Verdana"/>
          <w:sz w:val="20"/>
          <w:szCs w:val="20"/>
        </w:rPr>
      </w:pPr>
    </w:p>
    <w:p w14:paraId="144BF1C5" w14:textId="77777777" w:rsidR="00EB4571" w:rsidRDefault="00EB4571" w:rsidP="00766CA6">
      <w:pPr>
        <w:pStyle w:val="Prrafodelista"/>
        <w:numPr>
          <w:ilvl w:val="0"/>
          <w:numId w:val="8"/>
        </w:numPr>
        <w:ind w:left="567" w:hanging="567"/>
        <w:jc w:val="both"/>
        <w:rPr>
          <w:rFonts w:ascii="Verdana" w:hAnsi="Verdana"/>
          <w:sz w:val="20"/>
          <w:szCs w:val="20"/>
        </w:rPr>
      </w:pPr>
      <w:r w:rsidRPr="00EB4571">
        <w:rPr>
          <w:rFonts w:ascii="Verdana" w:hAnsi="Verdana"/>
          <w:sz w:val="20"/>
          <w:szCs w:val="20"/>
        </w:rPr>
        <w:t>La solvencia del deudor, la cual se puede conocer a través de variables como el nivel de endeudamiento y la calidad y composición de los activos, pasivos, capacidad patrimonial y contingencias del deudor y/o del proyecto.</w:t>
      </w:r>
    </w:p>
    <w:p w14:paraId="4086C00C" w14:textId="77777777" w:rsidR="00EB4571" w:rsidRPr="00EB4571" w:rsidRDefault="00EB4571" w:rsidP="00766CA6">
      <w:pPr>
        <w:pStyle w:val="Prrafodelista"/>
        <w:jc w:val="both"/>
        <w:rPr>
          <w:rFonts w:ascii="Verdana" w:hAnsi="Verdana"/>
          <w:sz w:val="20"/>
          <w:szCs w:val="20"/>
        </w:rPr>
      </w:pPr>
    </w:p>
    <w:p w14:paraId="118D7992" w14:textId="77777777" w:rsidR="00EB4571" w:rsidRDefault="00EB4571" w:rsidP="00766CA6">
      <w:pPr>
        <w:pStyle w:val="Prrafodelista"/>
        <w:numPr>
          <w:ilvl w:val="0"/>
          <w:numId w:val="8"/>
        </w:numPr>
        <w:ind w:left="567" w:hanging="567"/>
        <w:jc w:val="both"/>
        <w:rPr>
          <w:rFonts w:ascii="Verdana" w:hAnsi="Verdana"/>
          <w:sz w:val="20"/>
          <w:szCs w:val="20"/>
        </w:rPr>
      </w:pPr>
      <w:r w:rsidRPr="00EB4571">
        <w:rPr>
          <w:rFonts w:ascii="Verdana" w:hAnsi="Verdana"/>
          <w:sz w:val="20"/>
          <w:szCs w:val="20"/>
        </w:rPr>
        <w:t xml:space="preserve">La información sobre el cumplimiento actual y pasado de las obligaciones del deudor. La atención oportuna de todas las cuotas o instalamentos, entendidos como cualquier pago derivado de una operación de crédito, que deba efectuar el deudor en una fecha determinada, independientemente de los conceptos que </w:t>
      </w:r>
      <w:r w:rsidRPr="00EB4571">
        <w:rPr>
          <w:rFonts w:ascii="Verdana" w:hAnsi="Verdana"/>
          <w:sz w:val="20"/>
          <w:szCs w:val="20"/>
        </w:rPr>
        <w:lastRenderedPageBreak/>
        <w:t>comprenda (capital, intereses, garantías otorgadas, compromisos en firme de financiación o cualquier otro). Adicionalmente, la historia financiera y crediticia, proveniente de los operadores de información, calificadoras de riesgo, del deudor o de cualquier otra fuente que resulte relevante.</w:t>
      </w:r>
    </w:p>
    <w:p w14:paraId="7B7D8B7F" w14:textId="77777777" w:rsidR="00EB4571" w:rsidRPr="00EB4571" w:rsidRDefault="00EB4571" w:rsidP="00766CA6">
      <w:pPr>
        <w:pStyle w:val="Prrafodelista"/>
        <w:jc w:val="both"/>
        <w:rPr>
          <w:rFonts w:ascii="Verdana" w:hAnsi="Verdana"/>
          <w:sz w:val="20"/>
          <w:szCs w:val="20"/>
        </w:rPr>
      </w:pPr>
    </w:p>
    <w:p w14:paraId="173943A1" w14:textId="77777777" w:rsidR="00884A55" w:rsidRDefault="00EB4571" w:rsidP="00766CA6">
      <w:pPr>
        <w:pStyle w:val="Prrafodelista"/>
        <w:numPr>
          <w:ilvl w:val="0"/>
          <w:numId w:val="8"/>
        </w:numPr>
        <w:ind w:left="567" w:hanging="567"/>
        <w:jc w:val="both"/>
        <w:rPr>
          <w:rFonts w:ascii="Verdana" w:hAnsi="Verdana"/>
          <w:sz w:val="20"/>
          <w:szCs w:val="20"/>
        </w:rPr>
      </w:pPr>
      <w:r w:rsidRPr="00EB4571">
        <w:rPr>
          <w:rFonts w:ascii="Verdana" w:hAnsi="Verdana"/>
          <w:sz w:val="20"/>
          <w:szCs w:val="20"/>
        </w:rPr>
        <w:t>Para el caso de las entidades públicas territoriales, las entidades deben verificar el cumplimiento de las condiciones establecidas en las leyes 358 de 1997, 550 de 1999 y 617 de 2000, 1116 de 2006, y de las demás normas que las reglamenten o modifiquen.</w:t>
      </w:r>
    </w:p>
    <w:p w14:paraId="0AE43888" w14:textId="77777777" w:rsidR="00884A55" w:rsidRPr="00884A55" w:rsidRDefault="00884A55" w:rsidP="00766CA6">
      <w:pPr>
        <w:pStyle w:val="Prrafodelista"/>
        <w:jc w:val="both"/>
        <w:rPr>
          <w:rFonts w:ascii="Verdana" w:hAnsi="Verdana"/>
          <w:sz w:val="20"/>
          <w:szCs w:val="20"/>
        </w:rPr>
      </w:pPr>
    </w:p>
    <w:p w14:paraId="099030EF" w14:textId="4F826F83" w:rsidR="00AF7FAD" w:rsidRDefault="00EB4571" w:rsidP="00766CA6">
      <w:pPr>
        <w:pStyle w:val="Prrafodelista"/>
        <w:numPr>
          <w:ilvl w:val="0"/>
          <w:numId w:val="8"/>
        </w:numPr>
        <w:ind w:left="567" w:hanging="567"/>
        <w:jc w:val="both"/>
        <w:rPr>
          <w:rFonts w:ascii="Verdana" w:hAnsi="Verdana"/>
          <w:sz w:val="20"/>
          <w:szCs w:val="20"/>
        </w:rPr>
      </w:pPr>
      <w:r w:rsidRPr="00884A55">
        <w:rPr>
          <w:rFonts w:ascii="Verdana" w:hAnsi="Verdana"/>
          <w:sz w:val="20"/>
          <w:szCs w:val="20"/>
        </w:rPr>
        <w:t>Los posibles efectos de la materialización de los riesgos a los que está expuesto el flujo de caja del deudor y/o del proyecto a financiar, considerando distintos escenarios en función de variables económicas (tasas de interés, tipos de cambio, crecimiento económico, comportamiento de los mercados, entre otros) que puedan afectar el negocio o la capacidad de pago del deudor, según sea el caso. Igualmente, se debe examinar la calidad de los flujos de caja teniendo en cuenta la volatilidad de estos. Dentro de estos riesgos se deben analizar, según resulten relevantes:</w:t>
      </w:r>
    </w:p>
    <w:p w14:paraId="524EA638" w14:textId="77777777" w:rsidR="00AF7FAD" w:rsidRPr="00AF7FAD" w:rsidRDefault="00AF7FAD" w:rsidP="00766CA6">
      <w:pPr>
        <w:pStyle w:val="Prrafodelista"/>
        <w:ind w:left="567"/>
        <w:jc w:val="both"/>
        <w:rPr>
          <w:rFonts w:ascii="Verdana" w:hAnsi="Verdana"/>
          <w:sz w:val="20"/>
          <w:szCs w:val="20"/>
        </w:rPr>
      </w:pPr>
    </w:p>
    <w:p w14:paraId="62913321" w14:textId="77777777" w:rsidR="00AF7FAD" w:rsidRDefault="00086CD3" w:rsidP="00766CA6">
      <w:pPr>
        <w:pStyle w:val="Prrafodelista"/>
        <w:numPr>
          <w:ilvl w:val="0"/>
          <w:numId w:val="9"/>
        </w:numPr>
        <w:ind w:left="1134" w:hanging="578"/>
        <w:jc w:val="both"/>
        <w:rPr>
          <w:rFonts w:ascii="Verdana" w:hAnsi="Verdana"/>
          <w:sz w:val="20"/>
          <w:szCs w:val="20"/>
        </w:rPr>
      </w:pPr>
      <w:r w:rsidRPr="00AF7FAD">
        <w:rPr>
          <w:rFonts w:ascii="Verdana" w:hAnsi="Verdana"/>
          <w:sz w:val="20"/>
          <w:szCs w:val="20"/>
        </w:rPr>
        <w:t>Posibles descalces de monedas, plazos y tasas de interés en la estructura de balance y en operaciones fuera de balance, como por ejemplo la incidencia de los derivados financieros en el posible calce de las posiciones.</w:t>
      </w:r>
    </w:p>
    <w:p w14:paraId="392B1827" w14:textId="77777777" w:rsidR="00AF7FAD" w:rsidRDefault="00AF7FAD" w:rsidP="00766CA6">
      <w:pPr>
        <w:pStyle w:val="Prrafodelista"/>
        <w:ind w:left="1134"/>
        <w:jc w:val="both"/>
        <w:rPr>
          <w:rFonts w:ascii="Verdana" w:hAnsi="Verdana"/>
          <w:sz w:val="20"/>
          <w:szCs w:val="20"/>
        </w:rPr>
      </w:pPr>
    </w:p>
    <w:p w14:paraId="087ED284" w14:textId="77777777" w:rsidR="00AF7FAD" w:rsidRDefault="00086CD3" w:rsidP="00766CA6">
      <w:pPr>
        <w:pStyle w:val="Prrafodelista"/>
        <w:numPr>
          <w:ilvl w:val="0"/>
          <w:numId w:val="9"/>
        </w:numPr>
        <w:ind w:left="1134" w:hanging="578"/>
        <w:jc w:val="both"/>
        <w:rPr>
          <w:rFonts w:ascii="Verdana" w:hAnsi="Verdana"/>
          <w:sz w:val="20"/>
          <w:szCs w:val="20"/>
        </w:rPr>
      </w:pPr>
      <w:r w:rsidRPr="00AF7FAD">
        <w:rPr>
          <w:rFonts w:ascii="Verdana" w:hAnsi="Verdana"/>
          <w:sz w:val="20"/>
          <w:szCs w:val="20"/>
        </w:rPr>
        <w:t>Para aquellos créditos con tasa de interés variable o indexado a la UVR, IPC, IBR o cualquier otro índice, proyecciones y escenarios posibles de la evolución de las cuotas según el comportamiento esperado de las tasas de interés, del tipo de cambio, la inflación y otras variables que puedan afectar directamente el servicio de la deuda.</w:t>
      </w:r>
    </w:p>
    <w:p w14:paraId="045ECB34" w14:textId="77777777" w:rsidR="00AF7FAD" w:rsidRPr="00AF7FAD" w:rsidRDefault="00AF7FAD" w:rsidP="00766CA6">
      <w:pPr>
        <w:pStyle w:val="Prrafodelista"/>
        <w:jc w:val="both"/>
        <w:rPr>
          <w:rFonts w:ascii="Verdana" w:hAnsi="Verdana"/>
          <w:sz w:val="20"/>
          <w:szCs w:val="20"/>
        </w:rPr>
      </w:pPr>
    </w:p>
    <w:p w14:paraId="0430D5E5" w14:textId="5228DE3E" w:rsidR="00AF7FAD" w:rsidRDefault="00086CD3" w:rsidP="00766CA6">
      <w:pPr>
        <w:pStyle w:val="Prrafodelista"/>
        <w:numPr>
          <w:ilvl w:val="0"/>
          <w:numId w:val="9"/>
        </w:numPr>
        <w:ind w:left="1134" w:hanging="578"/>
        <w:jc w:val="both"/>
        <w:rPr>
          <w:rFonts w:ascii="Verdana" w:hAnsi="Verdana"/>
          <w:sz w:val="20"/>
          <w:szCs w:val="20"/>
        </w:rPr>
      </w:pPr>
      <w:r w:rsidRPr="00AF7FAD">
        <w:rPr>
          <w:rFonts w:ascii="Verdana" w:hAnsi="Verdana"/>
          <w:sz w:val="20"/>
          <w:szCs w:val="20"/>
        </w:rPr>
        <w:t xml:space="preserve">Para créditos denominados en moneda extranjera, el riesgo de tasa de cambio y su posible impacto sobre la capacidad de pago del deudor. En el caso de operaciones de crédito con el exterior, análisis propios y del mercado sobre el riesgo del país en el cual está domiciliado el deudor, con el objeto de identificar los riesgos de transferencia y soberano. Para este análisis se debe tener en cuenta como mínimo los criterios señalados en los </w:t>
      </w:r>
      <w:r w:rsidR="005C4691">
        <w:rPr>
          <w:rFonts w:ascii="Verdana" w:hAnsi="Verdana"/>
          <w:sz w:val="20"/>
          <w:szCs w:val="20"/>
        </w:rPr>
        <w:t xml:space="preserve">párrafos 1.1.2.209. y 1.1.2.210. de la presente sección. </w:t>
      </w:r>
    </w:p>
    <w:p w14:paraId="608A5C39" w14:textId="77777777" w:rsidR="00AF7FAD" w:rsidRPr="00AF7FAD" w:rsidRDefault="00AF7FAD" w:rsidP="00766CA6">
      <w:pPr>
        <w:pStyle w:val="Prrafodelista"/>
        <w:jc w:val="both"/>
        <w:rPr>
          <w:rFonts w:ascii="Verdana" w:hAnsi="Verdana"/>
          <w:sz w:val="20"/>
          <w:szCs w:val="20"/>
        </w:rPr>
      </w:pPr>
    </w:p>
    <w:p w14:paraId="506E1A7B" w14:textId="38E0417D" w:rsidR="002A3084" w:rsidRPr="002A3084" w:rsidRDefault="00086CD3" w:rsidP="00766CA6">
      <w:pPr>
        <w:pStyle w:val="Prrafodelista"/>
        <w:numPr>
          <w:ilvl w:val="0"/>
          <w:numId w:val="9"/>
        </w:numPr>
        <w:ind w:left="1134" w:hanging="578"/>
        <w:jc w:val="both"/>
        <w:rPr>
          <w:rFonts w:ascii="Verdana" w:hAnsi="Verdana"/>
          <w:sz w:val="20"/>
          <w:szCs w:val="20"/>
        </w:rPr>
      </w:pPr>
      <w:r w:rsidRPr="00AF7FAD">
        <w:rPr>
          <w:rFonts w:ascii="Verdana" w:hAnsi="Verdana"/>
          <w:sz w:val="20"/>
          <w:szCs w:val="20"/>
        </w:rPr>
        <w:t>Los riesgos de contagio, legales, operacionales, ambientales, estratégicos y demás riesgos a los que puede estar expuesta la capacidad de pago del deudor o el proyecto a financiar. En este contexto es necesario evaluar, entre otros, la información relacionada con el grupo económico al que pertenece el deudor.</w:t>
      </w:r>
    </w:p>
    <w:p w14:paraId="17D9A6BD" w14:textId="2F88AE8D" w:rsidR="002A3084" w:rsidRPr="0086035E" w:rsidRDefault="002A3084"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28</w:t>
      </w:r>
      <w:r w:rsidRPr="0086035E">
        <w:rPr>
          <w:rFonts w:ascii="Verdana" w:hAnsi="Verdana"/>
          <w:sz w:val="20"/>
          <w:szCs w:val="20"/>
        </w:rPr>
        <w:t>.</w:t>
      </w:r>
    </w:p>
    <w:p w14:paraId="15A00CFC" w14:textId="593DE261" w:rsidR="002A3084" w:rsidRPr="002A3084" w:rsidRDefault="002A3084" w:rsidP="00766CA6">
      <w:pPr>
        <w:jc w:val="both"/>
        <w:rPr>
          <w:rFonts w:ascii="Verdana" w:hAnsi="Verdana"/>
          <w:sz w:val="20"/>
          <w:szCs w:val="20"/>
        </w:rPr>
      </w:pPr>
      <w:r w:rsidRPr="002A3084">
        <w:rPr>
          <w:rFonts w:ascii="Verdana" w:hAnsi="Verdana"/>
          <w:sz w:val="20"/>
          <w:szCs w:val="20"/>
        </w:rPr>
        <w:t xml:space="preserve">En el caso de los microcréditos, la entidad debe contar con una metodología que refleje de forma adecuada el riesgo inherente al deudor y cuyos elementos permitan compensar las deficiencias de información </w:t>
      </w:r>
      <w:proofErr w:type="gramStart"/>
      <w:r w:rsidRPr="002A3084">
        <w:rPr>
          <w:rFonts w:ascii="Verdana" w:hAnsi="Verdana"/>
          <w:sz w:val="20"/>
          <w:szCs w:val="20"/>
        </w:rPr>
        <w:t>del mismo</w:t>
      </w:r>
      <w:proofErr w:type="gramEnd"/>
      <w:r w:rsidRPr="002A3084">
        <w:rPr>
          <w:rFonts w:ascii="Verdana" w:hAnsi="Verdana"/>
          <w:sz w:val="20"/>
          <w:szCs w:val="20"/>
        </w:rPr>
        <w:t xml:space="preserve">, de acuerdo </w:t>
      </w:r>
      <w:r w:rsidR="0053746C">
        <w:rPr>
          <w:rFonts w:ascii="Verdana" w:hAnsi="Verdana"/>
          <w:sz w:val="20"/>
          <w:szCs w:val="20"/>
        </w:rPr>
        <w:t xml:space="preserve">con </w:t>
      </w:r>
      <w:r w:rsidRPr="002A3084">
        <w:rPr>
          <w:rFonts w:ascii="Verdana" w:hAnsi="Verdana"/>
          <w:sz w:val="20"/>
          <w:szCs w:val="20"/>
        </w:rPr>
        <w:t>sus características y grado de informalidad. La información requerida puede ser obtenida y documentada en el lugar donde se desarrolla la actividad económica del deudor.</w:t>
      </w:r>
    </w:p>
    <w:p w14:paraId="299D2B5E" w14:textId="3E6E43EE" w:rsidR="002A3084" w:rsidRPr="0086035E" w:rsidRDefault="002A3084"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29</w:t>
      </w:r>
      <w:r w:rsidRPr="0086035E">
        <w:rPr>
          <w:rFonts w:ascii="Verdana" w:hAnsi="Verdana"/>
          <w:sz w:val="20"/>
          <w:szCs w:val="20"/>
        </w:rPr>
        <w:t>.</w:t>
      </w:r>
    </w:p>
    <w:p w14:paraId="625B65D9" w14:textId="7E2651D7" w:rsidR="002A3084" w:rsidRPr="002A3084" w:rsidRDefault="002A3084" w:rsidP="00766CA6">
      <w:pPr>
        <w:jc w:val="both"/>
        <w:rPr>
          <w:rFonts w:ascii="Verdana" w:hAnsi="Verdana"/>
          <w:sz w:val="20"/>
          <w:szCs w:val="20"/>
        </w:rPr>
      </w:pPr>
      <w:r w:rsidRPr="002A3084">
        <w:rPr>
          <w:rFonts w:ascii="Verdana" w:hAnsi="Verdana"/>
          <w:sz w:val="20"/>
          <w:szCs w:val="20"/>
        </w:rPr>
        <w:t>La información relacionada e</w:t>
      </w:r>
      <w:r w:rsidR="00CE32A1">
        <w:rPr>
          <w:rFonts w:ascii="Verdana" w:hAnsi="Verdana"/>
          <w:sz w:val="20"/>
          <w:szCs w:val="20"/>
        </w:rPr>
        <w:t>ntre los párrafos 1.1.</w:t>
      </w:r>
      <w:r w:rsidR="00481435">
        <w:rPr>
          <w:rFonts w:ascii="Verdana" w:hAnsi="Verdana"/>
          <w:sz w:val="20"/>
          <w:szCs w:val="20"/>
        </w:rPr>
        <w:t>2</w:t>
      </w:r>
      <w:r w:rsidR="00CE32A1">
        <w:rPr>
          <w:rFonts w:ascii="Verdana" w:hAnsi="Verdana"/>
          <w:sz w:val="20"/>
          <w:szCs w:val="20"/>
        </w:rPr>
        <w:t>.</w:t>
      </w:r>
      <w:r w:rsidR="00481435">
        <w:rPr>
          <w:rFonts w:ascii="Verdana" w:hAnsi="Verdana"/>
          <w:sz w:val="20"/>
          <w:szCs w:val="20"/>
        </w:rPr>
        <w:t>20. y 1.1.2.62.</w:t>
      </w:r>
      <w:r w:rsidR="00791157">
        <w:rPr>
          <w:rFonts w:ascii="Verdana" w:hAnsi="Verdana"/>
          <w:sz w:val="20"/>
          <w:szCs w:val="20"/>
        </w:rPr>
        <w:t xml:space="preserve"> de la presente sección </w:t>
      </w:r>
      <w:r w:rsidRPr="002A3084">
        <w:rPr>
          <w:rFonts w:ascii="Verdana" w:hAnsi="Verdana"/>
          <w:sz w:val="20"/>
          <w:szCs w:val="20"/>
        </w:rPr>
        <w:t xml:space="preserve">debe servir como base para calificar el crédito de acuerdo con el sistema de calificación interna de la entidad y los modelos señalados en </w:t>
      </w:r>
      <w:r w:rsidR="006234B6">
        <w:rPr>
          <w:rFonts w:ascii="Verdana" w:hAnsi="Verdana"/>
          <w:sz w:val="20"/>
          <w:szCs w:val="20"/>
        </w:rPr>
        <w:t xml:space="preserve">la sección 3 del presente capítulo en relación </w:t>
      </w:r>
      <w:r w:rsidR="00AE6698">
        <w:rPr>
          <w:rFonts w:ascii="Verdana" w:hAnsi="Verdana"/>
          <w:sz w:val="20"/>
          <w:szCs w:val="20"/>
        </w:rPr>
        <w:t>con la medición del riesgo de crédito</w:t>
      </w:r>
      <w:r w:rsidRPr="002A3084">
        <w:rPr>
          <w:rFonts w:ascii="Verdana" w:hAnsi="Verdana"/>
          <w:sz w:val="20"/>
          <w:szCs w:val="20"/>
        </w:rPr>
        <w:t xml:space="preserve">, así como para el monitoreo y reclasificación de </w:t>
      </w:r>
      <w:r w:rsidR="0053746C">
        <w:rPr>
          <w:rFonts w:ascii="Verdana" w:hAnsi="Verdana"/>
          <w:sz w:val="20"/>
          <w:szCs w:val="20"/>
        </w:rPr>
        <w:t>é</w:t>
      </w:r>
      <w:r w:rsidRPr="002A3084">
        <w:rPr>
          <w:rFonts w:ascii="Verdana" w:hAnsi="Verdana"/>
          <w:sz w:val="20"/>
          <w:szCs w:val="20"/>
        </w:rPr>
        <w:t>stos.</w:t>
      </w:r>
    </w:p>
    <w:p w14:paraId="35F8FD09" w14:textId="47192F70" w:rsidR="009F5410" w:rsidRPr="008E3C08" w:rsidRDefault="008E3C08" w:rsidP="00766CA6">
      <w:pPr>
        <w:pStyle w:val="Prrafodelista"/>
        <w:numPr>
          <w:ilvl w:val="0"/>
          <w:numId w:val="6"/>
        </w:numPr>
        <w:ind w:left="567" w:hanging="283"/>
        <w:jc w:val="both"/>
        <w:rPr>
          <w:rFonts w:ascii="Verdana" w:hAnsi="Verdana"/>
          <w:b/>
          <w:bCs/>
          <w:sz w:val="20"/>
          <w:szCs w:val="20"/>
        </w:rPr>
      </w:pPr>
      <w:r w:rsidRPr="008E3C08">
        <w:rPr>
          <w:rFonts w:ascii="Verdana" w:hAnsi="Verdana"/>
          <w:b/>
          <w:bCs/>
          <w:sz w:val="20"/>
          <w:szCs w:val="20"/>
        </w:rPr>
        <w:t>Evaluación de las garantías que respaldan la operación</w:t>
      </w:r>
    </w:p>
    <w:p w14:paraId="07CB8507" w14:textId="70AC15E7" w:rsidR="00240972" w:rsidRPr="0086035E" w:rsidRDefault="00240972"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30</w:t>
      </w:r>
      <w:r w:rsidRPr="0086035E">
        <w:rPr>
          <w:rFonts w:ascii="Verdana" w:hAnsi="Verdana"/>
          <w:sz w:val="20"/>
          <w:szCs w:val="20"/>
        </w:rPr>
        <w:t>.</w:t>
      </w:r>
    </w:p>
    <w:p w14:paraId="0633DC3B" w14:textId="7BC6D52A" w:rsidR="00CC015D" w:rsidRDefault="00240972" w:rsidP="00766CA6">
      <w:pPr>
        <w:jc w:val="both"/>
        <w:rPr>
          <w:rFonts w:ascii="Verdana" w:hAnsi="Verdana"/>
          <w:sz w:val="20"/>
          <w:szCs w:val="20"/>
        </w:rPr>
      </w:pPr>
      <w:r w:rsidRPr="00240972">
        <w:rPr>
          <w:rFonts w:ascii="Verdana" w:hAnsi="Verdana"/>
          <w:sz w:val="20"/>
          <w:szCs w:val="20"/>
        </w:rPr>
        <w:t>La entidad puede considerar la</w:t>
      </w:r>
      <w:r w:rsidR="00415485">
        <w:rPr>
          <w:rFonts w:ascii="Verdana" w:hAnsi="Verdana"/>
          <w:sz w:val="20"/>
          <w:szCs w:val="20"/>
        </w:rPr>
        <w:t xml:space="preserve"> admisión de </w:t>
      </w:r>
      <w:r w:rsidRPr="00240972">
        <w:rPr>
          <w:rFonts w:ascii="Verdana" w:hAnsi="Verdana"/>
          <w:sz w:val="20"/>
          <w:szCs w:val="20"/>
        </w:rPr>
        <w:t xml:space="preserve">garantías para mitigar los riesgos inherentes en los créditos para lo cual debe definir criterios claros para la exigencia, aceptación, seguimiento y ejecución de garantías para cada tipo de crédito. Sin embargo, el uso de las garantías no puede sustituir </w:t>
      </w:r>
      <w:r w:rsidR="001A6951">
        <w:rPr>
          <w:rFonts w:ascii="Verdana" w:hAnsi="Verdana"/>
          <w:sz w:val="20"/>
          <w:szCs w:val="20"/>
        </w:rPr>
        <w:t>l</w:t>
      </w:r>
      <w:r w:rsidRPr="00240972">
        <w:rPr>
          <w:rFonts w:ascii="Verdana" w:hAnsi="Verdana"/>
          <w:sz w:val="20"/>
          <w:szCs w:val="20"/>
        </w:rPr>
        <w:t>a evaluación comprensiva de</w:t>
      </w:r>
      <w:r w:rsidR="009A5A05">
        <w:rPr>
          <w:rFonts w:ascii="Verdana" w:hAnsi="Verdana"/>
          <w:sz w:val="20"/>
          <w:szCs w:val="20"/>
        </w:rPr>
        <w:t xml:space="preserve"> </w:t>
      </w:r>
      <w:r w:rsidRPr="00240972">
        <w:rPr>
          <w:rFonts w:ascii="Verdana" w:hAnsi="Verdana"/>
          <w:sz w:val="20"/>
          <w:szCs w:val="20"/>
        </w:rPr>
        <w:t>l</w:t>
      </w:r>
      <w:r w:rsidR="009A5A05">
        <w:rPr>
          <w:rFonts w:ascii="Verdana" w:hAnsi="Verdana"/>
          <w:sz w:val="20"/>
          <w:szCs w:val="20"/>
        </w:rPr>
        <w:t>os riesgos del</w:t>
      </w:r>
      <w:r w:rsidRPr="00240972">
        <w:rPr>
          <w:rFonts w:ascii="Verdana" w:hAnsi="Verdana"/>
          <w:sz w:val="20"/>
          <w:szCs w:val="20"/>
        </w:rPr>
        <w:t xml:space="preserve"> deudor, ni pueden compensar información insuficiente.</w:t>
      </w:r>
    </w:p>
    <w:p w14:paraId="3347B58A" w14:textId="77777777" w:rsidR="00036BFD" w:rsidRDefault="00036BFD" w:rsidP="00766CA6">
      <w:pPr>
        <w:jc w:val="both"/>
        <w:rPr>
          <w:rFonts w:ascii="Verdana" w:hAnsi="Verdana"/>
          <w:sz w:val="20"/>
          <w:szCs w:val="20"/>
        </w:rPr>
      </w:pPr>
    </w:p>
    <w:p w14:paraId="14D12EDD" w14:textId="556FFF2D" w:rsidR="00240972" w:rsidRPr="0086035E" w:rsidRDefault="00240972"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31</w:t>
      </w:r>
      <w:r w:rsidRPr="0086035E">
        <w:rPr>
          <w:rFonts w:ascii="Verdana" w:hAnsi="Verdana"/>
          <w:sz w:val="20"/>
          <w:szCs w:val="20"/>
        </w:rPr>
        <w:t>.</w:t>
      </w:r>
    </w:p>
    <w:p w14:paraId="37A47818" w14:textId="2AD5CC3A" w:rsidR="00240972" w:rsidRDefault="00240972" w:rsidP="00766CA6">
      <w:pPr>
        <w:jc w:val="both"/>
        <w:rPr>
          <w:rFonts w:ascii="Verdana" w:hAnsi="Verdana"/>
          <w:sz w:val="20"/>
          <w:szCs w:val="20"/>
        </w:rPr>
      </w:pPr>
      <w:r w:rsidRPr="00240972">
        <w:rPr>
          <w:rFonts w:ascii="Verdana" w:hAnsi="Verdana"/>
          <w:sz w:val="20"/>
          <w:szCs w:val="20"/>
        </w:rPr>
        <w:t xml:space="preserve">Para los propósitos del presente </w:t>
      </w:r>
      <w:r w:rsidR="00BC2316">
        <w:rPr>
          <w:rFonts w:ascii="Verdana" w:hAnsi="Verdana"/>
          <w:sz w:val="20"/>
          <w:szCs w:val="20"/>
        </w:rPr>
        <w:t>c</w:t>
      </w:r>
      <w:r w:rsidRPr="00240972">
        <w:rPr>
          <w:rFonts w:ascii="Verdana" w:hAnsi="Verdana"/>
          <w:sz w:val="20"/>
          <w:szCs w:val="20"/>
        </w:rPr>
        <w:t xml:space="preserve">apítulo, se entiende por garantías idóneas aquellas seguridades debidamente perfeccionadas que tengan un valor establecido con base en criterios técnicos y objetivos, que ofrezcan un respaldo jurídicamente eficaz al pago de la obligación garantizada (por ejemplo, al otorgar a la entidad acreedora una preferencia o mejor derecho para obtener el pago de la obligación) cuya posibilidad de realización sea razonablemente adecuada. No se pueden considerar como garantías idóneas aquellas que de conformidad con lo dispuesto en </w:t>
      </w:r>
      <w:r w:rsidR="000E5BDB">
        <w:rPr>
          <w:rFonts w:ascii="Verdana" w:hAnsi="Verdana"/>
          <w:sz w:val="20"/>
          <w:szCs w:val="20"/>
        </w:rPr>
        <w:t xml:space="preserve">el título 2 del libro 1 de </w:t>
      </w:r>
      <w:r w:rsidRPr="00240972">
        <w:rPr>
          <w:rFonts w:ascii="Verdana" w:hAnsi="Verdana"/>
          <w:sz w:val="20"/>
          <w:szCs w:val="20"/>
        </w:rPr>
        <w:t>la parte 2</w:t>
      </w:r>
      <w:r w:rsidR="000E5BDB">
        <w:rPr>
          <w:rFonts w:ascii="Verdana" w:hAnsi="Verdana"/>
          <w:sz w:val="20"/>
          <w:szCs w:val="20"/>
        </w:rPr>
        <w:t xml:space="preserve"> </w:t>
      </w:r>
      <w:r w:rsidRPr="00240972">
        <w:rPr>
          <w:rFonts w:ascii="Verdana" w:hAnsi="Verdana"/>
          <w:sz w:val="20"/>
          <w:szCs w:val="20"/>
        </w:rPr>
        <w:t>del Decreto 2555 de 2010 sean calificadas como no admisibles.</w:t>
      </w:r>
    </w:p>
    <w:p w14:paraId="75697EC7" w14:textId="5D1F9D6F" w:rsidR="008072B1" w:rsidRPr="0086035E" w:rsidRDefault="008072B1"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32</w:t>
      </w:r>
      <w:r w:rsidRPr="0086035E">
        <w:rPr>
          <w:rFonts w:ascii="Verdana" w:hAnsi="Verdana"/>
          <w:sz w:val="20"/>
          <w:szCs w:val="20"/>
        </w:rPr>
        <w:t>.</w:t>
      </w:r>
    </w:p>
    <w:p w14:paraId="1210366F" w14:textId="3725732B" w:rsidR="00240972" w:rsidRDefault="008072B1" w:rsidP="00766CA6">
      <w:pPr>
        <w:jc w:val="both"/>
        <w:rPr>
          <w:rFonts w:ascii="Verdana" w:hAnsi="Verdana"/>
          <w:sz w:val="20"/>
          <w:szCs w:val="20"/>
        </w:rPr>
      </w:pPr>
      <w:r w:rsidRPr="008072B1">
        <w:rPr>
          <w:rFonts w:ascii="Verdana" w:hAnsi="Verdana"/>
          <w:sz w:val="20"/>
          <w:szCs w:val="20"/>
        </w:rPr>
        <w:t xml:space="preserve">Para evaluar el respaldo ofrecido y la posibilidad de ejecutar la garantía se deben considerar, como mínimo, los siguientes factores: naturaleza, valor, cobertura y liquidez de </w:t>
      </w:r>
      <w:proofErr w:type="gramStart"/>
      <w:r w:rsidRPr="008072B1">
        <w:rPr>
          <w:rFonts w:ascii="Verdana" w:hAnsi="Verdana"/>
          <w:sz w:val="20"/>
          <w:szCs w:val="20"/>
        </w:rPr>
        <w:t>la misma</w:t>
      </w:r>
      <w:proofErr w:type="gramEnd"/>
      <w:r w:rsidRPr="008072B1">
        <w:rPr>
          <w:rFonts w:ascii="Verdana" w:hAnsi="Verdana"/>
          <w:sz w:val="20"/>
          <w:szCs w:val="20"/>
        </w:rPr>
        <w:t>. Adicionalmente la entidad debe definir criterios de realización de avalúos que se refieran a su objetividad, certeza de la fuente, transparencia, integridad y suficiencia, independencia y profesionalidad del evaluador, antigüedad y contenido mínimo del avalúo, así como estimar los potenciales costos de su realización y considerar los requisitos de orden jurídico necesarios para hacerlas exigibles en cada caso.</w:t>
      </w:r>
    </w:p>
    <w:p w14:paraId="784F452C" w14:textId="662D16C9" w:rsidR="00402D04" w:rsidRPr="008E3C08" w:rsidRDefault="008B45EC" w:rsidP="00E87B71">
      <w:pPr>
        <w:pStyle w:val="Prrafodelista"/>
        <w:numPr>
          <w:ilvl w:val="1"/>
          <w:numId w:val="6"/>
        </w:numPr>
        <w:ind w:left="851" w:hanging="284"/>
        <w:jc w:val="both"/>
        <w:rPr>
          <w:rFonts w:ascii="Verdana" w:hAnsi="Verdana"/>
          <w:b/>
          <w:bCs/>
          <w:sz w:val="20"/>
          <w:szCs w:val="20"/>
        </w:rPr>
      </w:pPr>
      <w:r w:rsidRPr="008B45EC">
        <w:rPr>
          <w:rFonts w:ascii="Verdana" w:hAnsi="Verdana"/>
          <w:b/>
          <w:bCs/>
          <w:sz w:val="20"/>
          <w:szCs w:val="20"/>
        </w:rPr>
        <w:t>Instrucciones particulares sobre algunas garantías idóneas</w:t>
      </w:r>
    </w:p>
    <w:p w14:paraId="3E8B8258" w14:textId="045A4165" w:rsidR="00240972" w:rsidRDefault="00402D04"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5D7820">
        <w:rPr>
          <w:rFonts w:ascii="Verdana" w:hAnsi="Verdana"/>
          <w:sz w:val="20"/>
          <w:szCs w:val="20"/>
        </w:rPr>
        <w:t>3</w:t>
      </w:r>
      <w:r w:rsidRPr="0086035E">
        <w:rPr>
          <w:rFonts w:ascii="Verdana" w:hAnsi="Verdana"/>
          <w:sz w:val="20"/>
          <w:szCs w:val="20"/>
        </w:rPr>
        <w:t>.</w:t>
      </w:r>
    </w:p>
    <w:p w14:paraId="03BE2694" w14:textId="4AAB7795" w:rsidR="00F97D30" w:rsidRPr="00F97D30" w:rsidRDefault="00F97D30" w:rsidP="00766CA6">
      <w:pPr>
        <w:jc w:val="both"/>
        <w:rPr>
          <w:rFonts w:ascii="Verdana" w:hAnsi="Verdana"/>
          <w:sz w:val="20"/>
          <w:szCs w:val="20"/>
        </w:rPr>
      </w:pPr>
      <w:r w:rsidRPr="00F97D30">
        <w:rPr>
          <w:rFonts w:ascii="Verdana" w:hAnsi="Verdana"/>
          <w:sz w:val="20"/>
          <w:szCs w:val="20"/>
        </w:rPr>
        <w:t xml:space="preserve">Cuando la garantía consista en hipoteca, prenda </w:t>
      </w:r>
      <w:r w:rsidR="00A769E9">
        <w:rPr>
          <w:rFonts w:ascii="Verdana" w:hAnsi="Verdana"/>
          <w:sz w:val="20"/>
          <w:szCs w:val="20"/>
        </w:rPr>
        <w:t>u otro tipo de</w:t>
      </w:r>
      <w:r w:rsidRPr="00F97D30">
        <w:rPr>
          <w:rFonts w:ascii="Verdana" w:hAnsi="Verdana"/>
          <w:sz w:val="20"/>
          <w:szCs w:val="20"/>
        </w:rPr>
        <w:t xml:space="preserve"> garantía mobiliaria, o cuando exista una garantía que recaiga sobre uno o varios bienes determinados, como es el caso de las fiducias irrevocables mercantiles de garantía, sólo se considera idónea en función de</w:t>
      </w:r>
      <w:r w:rsidR="00EE6D5A">
        <w:rPr>
          <w:rFonts w:ascii="Verdana" w:hAnsi="Verdana"/>
          <w:sz w:val="20"/>
          <w:szCs w:val="20"/>
        </w:rPr>
        <w:t xml:space="preserve">l cumplimiento </w:t>
      </w:r>
      <w:r w:rsidRPr="00F97D30">
        <w:rPr>
          <w:rFonts w:ascii="Verdana" w:hAnsi="Verdana"/>
          <w:sz w:val="20"/>
          <w:szCs w:val="20"/>
        </w:rPr>
        <w:t>de los factores indicados en</w:t>
      </w:r>
      <w:r w:rsidR="00C266D4">
        <w:rPr>
          <w:rFonts w:ascii="Verdana" w:hAnsi="Verdana"/>
          <w:sz w:val="20"/>
          <w:szCs w:val="20"/>
        </w:rPr>
        <w:t>tre los párrafos 1.1.2.</w:t>
      </w:r>
      <w:r w:rsidR="007517B6">
        <w:rPr>
          <w:rFonts w:ascii="Verdana" w:hAnsi="Verdana"/>
          <w:sz w:val="20"/>
          <w:szCs w:val="20"/>
        </w:rPr>
        <w:t>30. y 1.1.2.42. de la presente sección</w:t>
      </w:r>
      <w:r w:rsidRPr="00F97D30">
        <w:rPr>
          <w:rFonts w:ascii="Verdana" w:hAnsi="Verdana"/>
          <w:sz w:val="20"/>
          <w:szCs w:val="20"/>
        </w:rPr>
        <w:t xml:space="preserve">. Para establecer su valor se debe tener en cuenta el </w:t>
      </w:r>
      <w:r w:rsidR="00815CE4">
        <w:rPr>
          <w:rFonts w:ascii="Verdana" w:hAnsi="Verdana"/>
          <w:sz w:val="20"/>
          <w:szCs w:val="20"/>
        </w:rPr>
        <w:t xml:space="preserve">valor </w:t>
      </w:r>
      <w:r w:rsidRPr="00F97D30">
        <w:rPr>
          <w:rFonts w:ascii="Verdana" w:hAnsi="Verdana"/>
          <w:sz w:val="20"/>
          <w:szCs w:val="20"/>
        </w:rPr>
        <w:t>de realización.</w:t>
      </w:r>
    </w:p>
    <w:p w14:paraId="7B9674C1" w14:textId="64ED9C38" w:rsidR="005D7820" w:rsidRDefault="005D7820"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34</w:t>
      </w:r>
      <w:r w:rsidRPr="0086035E">
        <w:rPr>
          <w:rFonts w:ascii="Verdana" w:hAnsi="Verdana"/>
          <w:sz w:val="20"/>
          <w:szCs w:val="20"/>
        </w:rPr>
        <w:t>.</w:t>
      </w:r>
    </w:p>
    <w:p w14:paraId="53339028" w14:textId="7A33CD36" w:rsidR="00F97D30" w:rsidRPr="00F97D30" w:rsidRDefault="00F97D30" w:rsidP="00766CA6">
      <w:pPr>
        <w:jc w:val="both"/>
        <w:rPr>
          <w:rFonts w:ascii="Verdana" w:hAnsi="Verdana"/>
          <w:sz w:val="20"/>
          <w:szCs w:val="20"/>
        </w:rPr>
      </w:pPr>
      <w:r w:rsidRPr="00F97D30">
        <w:rPr>
          <w:rFonts w:ascii="Verdana" w:hAnsi="Verdana"/>
          <w:sz w:val="20"/>
          <w:szCs w:val="20"/>
        </w:rPr>
        <w:t xml:space="preserve">Cuando los créditos estén garantizados con pignoración de rentas, como es el caso de los préstamos otorgados a entidades públicas territoriales, se debe verificar que su cobertura no se vea afectada por destinaciones específicas o por otras pignoraciones previas o concurrentes, de acuerdo con lo establecido en el subnumeral </w:t>
      </w:r>
      <w:r w:rsidRPr="004E6F75">
        <w:rPr>
          <w:rFonts w:ascii="Verdana" w:hAnsi="Verdana"/>
          <w:sz w:val="20"/>
          <w:szCs w:val="20"/>
        </w:rPr>
        <w:t xml:space="preserve">2.1. </w:t>
      </w:r>
      <w:r w:rsidR="00055CBA" w:rsidRPr="004E6F75">
        <w:rPr>
          <w:rFonts w:ascii="Verdana" w:hAnsi="Verdana"/>
          <w:sz w:val="20"/>
          <w:szCs w:val="20"/>
        </w:rPr>
        <w:t xml:space="preserve">del </w:t>
      </w:r>
      <w:r w:rsidRPr="004E6F75">
        <w:rPr>
          <w:rFonts w:ascii="Verdana" w:hAnsi="Verdana"/>
          <w:sz w:val="20"/>
          <w:szCs w:val="20"/>
        </w:rPr>
        <w:t>capítulo 1 del título 1 de la parte II de la CBJ.</w:t>
      </w:r>
    </w:p>
    <w:p w14:paraId="299F35D8" w14:textId="2F954411" w:rsidR="008D155C" w:rsidRDefault="008D155C"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35</w:t>
      </w:r>
      <w:r w:rsidRPr="0086035E">
        <w:rPr>
          <w:rFonts w:ascii="Verdana" w:hAnsi="Verdana"/>
          <w:sz w:val="20"/>
          <w:szCs w:val="20"/>
        </w:rPr>
        <w:t>.</w:t>
      </w:r>
    </w:p>
    <w:p w14:paraId="1300487A" w14:textId="53E34109" w:rsidR="00F97D30" w:rsidRPr="00F97D30" w:rsidRDefault="00F97D30" w:rsidP="00766CA6">
      <w:pPr>
        <w:jc w:val="both"/>
        <w:rPr>
          <w:rFonts w:ascii="Verdana" w:hAnsi="Verdana"/>
          <w:sz w:val="20"/>
          <w:szCs w:val="20"/>
        </w:rPr>
      </w:pPr>
      <w:r w:rsidRPr="00F97D30">
        <w:rPr>
          <w:rFonts w:ascii="Verdana" w:hAnsi="Verdana"/>
          <w:sz w:val="20"/>
          <w:szCs w:val="20"/>
        </w:rPr>
        <w:t>Para efectos de la evaluación del riesgo de crédito, se pueden considerar como garantías idóneas de la respectiva operación las fuentes de pago adicionales que de manera incondicional atiendan suficientemente el crédito por el simple requerimiento de la entidad acreedora. Tienen el mismo tratamiento las garantías otorgadas por la Nación cuando cuenten con la apropiación presupuestal certificada y aprobada por la autoridad competente.</w:t>
      </w:r>
    </w:p>
    <w:p w14:paraId="295D1BD9" w14:textId="05710D98" w:rsidR="000C647B" w:rsidRDefault="000C647B"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36</w:t>
      </w:r>
      <w:r w:rsidRPr="0086035E">
        <w:rPr>
          <w:rFonts w:ascii="Verdana" w:hAnsi="Verdana"/>
          <w:sz w:val="20"/>
          <w:szCs w:val="20"/>
        </w:rPr>
        <w:t>.</w:t>
      </w:r>
    </w:p>
    <w:p w14:paraId="6B0F7BA2" w14:textId="75941683" w:rsidR="00240972" w:rsidRDefault="00F97D30" w:rsidP="00766CA6">
      <w:pPr>
        <w:jc w:val="both"/>
        <w:rPr>
          <w:rFonts w:ascii="Verdana" w:hAnsi="Verdana"/>
          <w:sz w:val="20"/>
          <w:szCs w:val="20"/>
        </w:rPr>
      </w:pPr>
      <w:r w:rsidRPr="00F97D30">
        <w:rPr>
          <w:rFonts w:ascii="Verdana" w:hAnsi="Verdana"/>
          <w:sz w:val="20"/>
          <w:szCs w:val="20"/>
        </w:rPr>
        <w:t>As</w:t>
      </w:r>
      <w:r w:rsidR="00190953">
        <w:rPr>
          <w:rFonts w:ascii="Verdana" w:hAnsi="Verdana"/>
          <w:sz w:val="20"/>
          <w:szCs w:val="20"/>
        </w:rPr>
        <w:t xml:space="preserve">í </w:t>
      </w:r>
      <w:r w:rsidRPr="00F97D30">
        <w:rPr>
          <w:rFonts w:ascii="Verdana" w:hAnsi="Verdana"/>
          <w:sz w:val="20"/>
          <w:szCs w:val="20"/>
        </w:rPr>
        <w:t xml:space="preserve">mismo, se consideran garantías idóneas aquellas otorgadas por fondos de garantías que administren recursos públicos que cumplan los requisitos previstos en </w:t>
      </w:r>
      <w:r w:rsidR="00892943">
        <w:rPr>
          <w:rFonts w:ascii="Verdana" w:hAnsi="Verdana"/>
          <w:sz w:val="20"/>
          <w:szCs w:val="20"/>
        </w:rPr>
        <w:t>la presente sección</w:t>
      </w:r>
      <w:r w:rsidRPr="00F97D30">
        <w:rPr>
          <w:rFonts w:ascii="Verdana" w:hAnsi="Verdana"/>
          <w:sz w:val="20"/>
          <w:szCs w:val="20"/>
        </w:rPr>
        <w:t>.</w:t>
      </w:r>
    </w:p>
    <w:p w14:paraId="68EA1060" w14:textId="01368B70" w:rsidR="00D00536" w:rsidRDefault="00D00536"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37</w:t>
      </w:r>
      <w:r w:rsidRPr="0086035E">
        <w:rPr>
          <w:rFonts w:ascii="Verdana" w:hAnsi="Verdana"/>
          <w:sz w:val="20"/>
          <w:szCs w:val="20"/>
        </w:rPr>
        <w:t>.</w:t>
      </w:r>
    </w:p>
    <w:p w14:paraId="5BCC9408" w14:textId="77777777" w:rsidR="00D00536" w:rsidRDefault="00190953" w:rsidP="00766CA6">
      <w:pPr>
        <w:jc w:val="both"/>
        <w:rPr>
          <w:rFonts w:ascii="Verdana" w:hAnsi="Verdana"/>
          <w:sz w:val="20"/>
          <w:szCs w:val="20"/>
        </w:rPr>
      </w:pPr>
      <w:r w:rsidRPr="00190953">
        <w:rPr>
          <w:rFonts w:ascii="Verdana" w:hAnsi="Verdana"/>
          <w:sz w:val="20"/>
          <w:szCs w:val="20"/>
        </w:rPr>
        <w:t xml:space="preserve">Las cartas de crédito </w:t>
      </w:r>
      <w:r w:rsidRPr="00EE5A39">
        <w:rPr>
          <w:rFonts w:ascii="Verdana" w:hAnsi="Verdana"/>
          <w:i/>
          <w:iCs/>
          <w:sz w:val="20"/>
          <w:szCs w:val="20"/>
        </w:rPr>
        <w:t xml:space="preserve">stand </w:t>
      </w:r>
      <w:proofErr w:type="spellStart"/>
      <w:r w:rsidRPr="00EE5A39">
        <w:rPr>
          <w:rFonts w:ascii="Verdana" w:hAnsi="Verdana"/>
          <w:i/>
          <w:iCs/>
          <w:sz w:val="20"/>
          <w:szCs w:val="20"/>
        </w:rPr>
        <w:t>by</w:t>
      </w:r>
      <w:proofErr w:type="spellEnd"/>
      <w:r w:rsidRPr="00190953">
        <w:rPr>
          <w:rFonts w:ascii="Verdana" w:hAnsi="Verdana"/>
          <w:sz w:val="20"/>
          <w:szCs w:val="20"/>
        </w:rPr>
        <w:t xml:space="preserve"> se consideran garantías idóneas cuando cumplan las siguientes condiciones:</w:t>
      </w:r>
    </w:p>
    <w:p w14:paraId="3C9B5692" w14:textId="77777777" w:rsidR="00D00536" w:rsidRDefault="00190953" w:rsidP="00766CA6">
      <w:pPr>
        <w:pStyle w:val="Prrafodelista"/>
        <w:numPr>
          <w:ilvl w:val="0"/>
          <w:numId w:val="10"/>
        </w:numPr>
        <w:ind w:left="567" w:hanging="567"/>
        <w:jc w:val="both"/>
        <w:rPr>
          <w:rFonts w:ascii="Verdana" w:hAnsi="Verdana"/>
          <w:sz w:val="20"/>
          <w:szCs w:val="20"/>
        </w:rPr>
      </w:pPr>
      <w:r w:rsidRPr="00D00536">
        <w:rPr>
          <w:rFonts w:ascii="Verdana" w:hAnsi="Verdana"/>
          <w:sz w:val="20"/>
          <w:szCs w:val="20"/>
        </w:rPr>
        <w:t>Que sean cartas de crédito irrevocables y pagaderas a su sola presentación.</w:t>
      </w:r>
    </w:p>
    <w:p w14:paraId="0CB74318" w14:textId="77777777" w:rsidR="00D00536" w:rsidRDefault="00D00536" w:rsidP="00766CA6">
      <w:pPr>
        <w:pStyle w:val="Prrafodelista"/>
        <w:ind w:left="567"/>
        <w:jc w:val="both"/>
        <w:rPr>
          <w:rFonts w:ascii="Verdana" w:hAnsi="Verdana"/>
          <w:sz w:val="20"/>
          <w:szCs w:val="20"/>
        </w:rPr>
      </w:pPr>
    </w:p>
    <w:p w14:paraId="0A0E36D3" w14:textId="03F19FE2" w:rsidR="009F5410" w:rsidRPr="00CC6065" w:rsidRDefault="00190953" w:rsidP="00766CA6">
      <w:pPr>
        <w:pStyle w:val="Prrafodelista"/>
        <w:numPr>
          <w:ilvl w:val="0"/>
          <w:numId w:val="10"/>
        </w:numPr>
        <w:ind w:left="567" w:hanging="567"/>
        <w:jc w:val="both"/>
        <w:rPr>
          <w:rFonts w:ascii="Verdana" w:hAnsi="Verdana"/>
          <w:sz w:val="20"/>
          <w:szCs w:val="20"/>
        </w:rPr>
      </w:pPr>
      <w:r w:rsidRPr="00CC6065">
        <w:rPr>
          <w:rFonts w:ascii="Verdana" w:hAnsi="Verdana"/>
          <w:sz w:val="20"/>
          <w:szCs w:val="20"/>
        </w:rPr>
        <w:t>Que la deuda de largo plazo del banco emisor se encuentre calificada con grado de inversión por una sociedad calificadora autorizada por la SFC.</w:t>
      </w:r>
    </w:p>
    <w:p w14:paraId="1C03554B" w14:textId="77777777" w:rsidR="001C3159" w:rsidRDefault="001C3159" w:rsidP="00766CA6">
      <w:pPr>
        <w:pStyle w:val="Prrafodelista"/>
        <w:ind w:left="567"/>
        <w:jc w:val="both"/>
        <w:rPr>
          <w:rFonts w:ascii="Verdana" w:hAnsi="Verdana"/>
          <w:b/>
          <w:bCs/>
          <w:sz w:val="20"/>
          <w:szCs w:val="20"/>
        </w:rPr>
      </w:pPr>
    </w:p>
    <w:p w14:paraId="53A82157" w14:textId="53678347" w:rsidR="001C3159" w:rsidRPr="009852C8" w:rsidRDefault="001C3159" w:rsidP="00E87B71">
      <w:pPr>
        <w:pStyle w:val="Prrafodelista"/>
        <w:numPr>
          <w:ilvl w:val="1"/>
          <w:numId w:val="6"/>
        </w:numPr>
        <w:ind w:left="851" w:hanging="284"/>
        <w:jc w:val="both"/>
        <w:rPr>
          <w:rFonts w:ascii="Verdana" w:hAnsi="Verdana"/>
          <w:b/>
          <w:bCs/>
          <w:sz w:val="20"/>
          <w:szCs w:val="20"/>
        </w:rPr>
      </w:pPr>
      <w:r>
        <w:rPr>
          <w:rFonts w:ascii="Verdana" w:hAnsi="Verdana"/>
          <w:b/>
          <w:bCs/>
          <w:sz w:val="20"/>
          <w:szCs w:val="20"/>
        </w:rPr>
        <w:t>Valoración de garantías</w:t>
      </w:r>
    </w:p>
    <w:p w14:paraId="5ED6EC33" w14:textId="33B59CC1" w:rsidR="00CC572C" w:rsidRPr="001D570B" w:rsidRDefault="00CC572C" w:rsidP="00766CA6">
      <w:pPr>
        <w:spacing w:after="0"/>
        <w:jc w:val="both"/>
        <w:rPr>
          <w:rFonts w:ascii="Verdana" w:hAnsi="Verdana"/>
          <w:sz w:val="20"/>
          <w:szCs w:val="20"/>
        </w:rPr>
      </w:pPr>
      <w:r w:rsidRPr="001D570B">
        <w:rPr>
          <w:rFonts w:ascii="Verdana" w:hAnsi="Verdana"/>
          <w:sz w:val="20"/>
          <w:szCs w:val="20"/>
        </w:rPr>
        <w:t>1.1.2.3</w:t>
      </w:r>
      <w:r w:rsidR="007C3271">
        <w:rPr>
          <w:rFonts w:ascii="Verdana" w:hAnsi="Verdana"/>
          <w:sz w:val="20"/>
          <w:szCs w:val="20"/>
        </w:rPr>
        <w:t>8</w:t>
      </w:r>
      <w:r w:rsidRPr="001D570B">
        <w:rPr>
          <w:rFonts w:ascii="Verdana" w:hAnsi="Verdana"/>
          <w:sz w:val="20"/>
          <w:szCs w:val="20"/>
        </w:rPr>
        <w:t>.</w:t>
      </w:r>
    </w:p>
    <w:p w14:paraId="22952EFA" w14:textId="1221C5C1" w:rsidR="007C3271" w:rsidRPr="007C3271" w:rsidRDefault="007C3271" w:rsidP="00766CA6">
      <w:pPr>
        <w:jc w:val="both"/>
        <w:rPr>
          <w:rFonts w:ascii="Verdana" w:hAnsi="Verdana"/>
          <w:sz w:val="20"/>
          <w:szCs w:val="20"/>
        </w:rPr>
      </w:pPr>
      <w:r w:rsidRPr="00D86135">
        <w:rPr>
          <w:rFonts w:ascii="Verdana" w:hAnsi="Verdana"/>
          <w:sz w:val="20"/>
          <w:szCs w:val="20"/>
        </w:rPr>
        <w:t>La entidad debe establecer el valor de la garantía en el momento del otorgamiento y realizar sus actualizaciones de acuerdo con las instrucciones</w:t>
      </w:r>
      <w:r w:rsidR="009D6AE5" w:rsidRPr="00D86135">
        <w:rPr>
          <w:rFonts w:ascii="Verdana" w:hAnsi="Verdana"/>
          <w:sz w:val="20"/>
          <w:szCs w:val="20"/>
        </w:rPr>
        <w:t xml:space="preserve"> que se citan en los siguientes literales</w:t>
      </w:r>
      <w:r w:rsidR="00A03265" w:rsidRPr="008A4858">
        <w:rPr>
          <w:rFonts w:ascii="Verdana" w:hAnsi="Verdana"/>
          <w:sz w:val="20"/>
          <w:szCs w:val="20"/>
        </w:rPr>
        <w:t>. C</w:t>
      </w:r>
      <w:r w:rsidR="0043573F" w:rsidRPr="008A4858">
        <w:rPr>
          <w:rFonts w:ascii="Verdana" w:hAnsi="Verdana"/>
          <w:sz w:val="20"/>
          <w:szCs w:val="20"/>
        </w:rPr>
        <w:t xml:space="preserve">uando se trate de un bien inmueble el valor </w:t>
      </w:r>
      <w:r w:rsidR="00E928C4" w:rsidRPr="008A4858">
        <w:rPr>
          <w:rFonts w:ascii="Verdana" w:hAnsi="Verdana"/>
          <w:sz w:val="20"/>
          <w:szCs w:val="20"/>
        </w:rPr>
        <w:t xml:space="preserve">de la garantía </w:t>
      </w:r>
      <w:r w:rsidR="0043573F" w:rsidRPr="008A4858">
        <w:rPr>
          <w:rFonts w:ascii="Verdana" w:hAnsi="Verdana"/>
          <w:sz w:val="20"/>
          <w:szCs w:val="20"/>
        </w:rPr>
        <w:t xml:space="preserve">se podrá establecer por medio de </w:t>
      </w:r>
      <w:r w:rsidR="00E928C4" w:rsidRPr="008A4858">
        <w:rPr>
          <w:rFonts w:ascii="Verdana" w:hAnsi="Verdana"/>
          <w:sz w:val="20"/>
          <w:szCs w:val="20"/>
        </w:rPr>
        <w:t>un</w:t>
      </w:r>
      <w:r w:rsidR="00E928C4">
        <w:rPr>
          <w:rFonts w:ascii="Verdana" w:hAnsi="Verdana"/>
          <w:sz w:val="20"/>
          <w:szCs w:val="20"/>
        </w:rPr>
        <w:t xml:space="preserve"> </w:t>
      </w:r>
      <w:r w:rsidR="0043573F">
        <w:rPr>
          <w:rFonts w:ascii="Verdana" w:hAnsi="Verdana"/>
          <w:sz w:val="20"/>
          <w:szCs w:val="20"/>
        </w:rPr>
        <w:t>avalúo técnico o</w:t>
      </w:r>
      <w:r w:rsidR="0043573F" w:rsidRPr="00DB72B1">
        <w:rPr>
          <w:rFonts w:ascii="Verdana" w:hAnsi="Verdana"/>
          <w:sz w:val="20"/>
          <w:szCs w:val="20"/>
        </w:rPr>
        <w:t xml:space="preserve"> </w:t>
      </w:r>
      <w:r w:rsidR="00D21254">
        <w:rPr>
          <w:rFonts w:ascii="Verdana" w:hAnsi="Verdana"/>
          <w:sz w:val="20"/>
          <w:szCs w:val="20"/>
        </w:rPr>
        <w:t xml:space="preserve">mediante la utilización </w:t>
      </w:r>
      <w:r w:rsidR="0043573F">
        <w:rPr>
          <w:rFonts w:ascii="Verdana" w:hAnsi="Verdana"/>
          <w:sz w:val="20"/>
          <w:szCs w:val="20"/>
        </w:rPr>
        <w:t>de</w:t>
      </w:r>
      <w:r w:rsidR="0043573F" w:rsidDel="00465451">
        <w:rPr>
          <w:rFonts w:ascii="Verdana" w:hAnsi="Verdana"/>
          <w:sz w:val="20"/>
          <w:szCs w:val="20"/>
        </w:rPr>
        <w:t xml:space="preserve"> </w:t>
      </w:r>
      <w:r w:rsidR="0043573F" w:rsidRPr="00DB72B1">
        <w:rPr>
          <w:rFonts w:ascii="Verdana" w:hAnsi="Verdana"/>
          <w:sz w:val="20"/>
          <w:szCs w:val="20"/>
        </w:rPr>
        <w:t xml:space="preserve">metodologías </w:t>
      </w:r>
      <w:r w:rsidR="0043573F" w:rsidRPr="00DB72B1">
        <w:rPr>
          <w:rFonts w:ascii="Verdana" w:hAnsi="Verdana"/>
          <w:sz w:val="20"/>
          <w:szCs w:val="20"/>
        </w:rPr>
        <w:lastRenderedPageBreak/>
        <w:t>técnicamente idóneas</w:t>
      </w:r>
      <w:r w:rsidR="0043573F">
        <w:rPr>
          <w:rFonts w:ascii="Verdana" w:hAnsi="Verdana"/>
          <w:sz w:val="20"/>
          <w:szCs w:val="20"/>
        </w:rPr>
        <w:t xml:space="preserve"> </w:t>
      </w:r>
      <w:r w:rsidR="0043573F" w:rsidRPr="00600993">
        <w:rPr>
          <w:rFonts w:ascii="Verdana" w:hAnsi="Verdana"/>
          <w:sz w:val="20"/>
          <w:szCs w:val="20"/>
        </w:rPr>
        <w:t>que permitan establecer el valor objetivo del inmueble</w:t>
      </w:r>
      <w:r w:rsidR="00A03265">
        <w:rPr>
          <w:rFonts w:ascii="Verdana" w:hAnsi="Verdana"/>
          <w:sz w:val="20"/>
          <w:szCs w:val="20"/>
        </w:rPr>
        <w:t>,</w:t>
      </w:r>
      <w:r w:rsidR="0043573F" w:rsidRPr="00600993">
        <w:rPr>
          <w:rFonts w:ascii="Verdana" w:hAnsi="Verdana"/>
          <w:sz w:val="20"/>
          <w:szCs w:val="20"/>
        </w:rPr>
        <w:t xml:space="preserve"> </w:t>
      </w:r>
      <w:r w:rsidR="0043573F">
        <w:rPr>
          <w:rFonts w:ascii="Verdana" w:hAnsi="Verdana"/>
          <w:sz w:val="20"/>
          <w:szCs w:val="20"/>
        </w:rPr>
        <w:t>de conformidad con lo establecido en la Ley 2434 de 2024</w:t>
      </w:r>
      <w:r w:rsidR="00465451">
        <w:rPr>
          <w:rFonts w:ascii="Verdana" w:hAnsi="Verdana"/>
          <w:sz w:val="20"/>
          <w:szCs w:val="20"/>
        </w:rPr>
        <w:t>.</w:t>
      </w:r>
    </w:p>
    <w:p w14:paraId="469CE009" w14:textId="790BC802" w:rsidR="007C3271" w:rsidRDefault="007C3271" w:rsidP="00766CA6">
      <w:pPr>
        <w:pStyle w:val="Prrafodelista"/>
        <w:numPr>
          <w:ilvl w:val="0"/>
          <w:numId w:val="11"/>
        </w:numPr>
        <w:ind w:left="567" w:hanging="567"/>
        <w:jc w:val="both"/>
        <w:rPr>
          <w:rFonts w:ascii="Verdana" w:hAnsi="Verdana"/>
          <w:sz w:val="20"/>
          <w:szCs w:val="20"/>
        </w:rPr>
      </w:pPr>
      <w:r w:rsidRPr="00DD21F1">
        <w:rPr>
          <w:rFonts w:ascii="Verdana" w:hAnsi="Verdana"/>
          <w:sz w:val="20"/>
          <w:szCs w:val="20"/>
        </w:rPr>
        <w:t>En el caso de garantías constituidas sobre bienes inmuebles destinados a vivienda, el valor al momento del otorgamiento corresponde al obtenido mediante un avalúo técnico. Tratándose de inmuebles nuevos o con una antigüedad menor a 1 año, adquiridos por una entidad financiera para suscribir contratos de leasing, el valor al momento del otorgamiento corresponde al valor de adquisición del inmueble o al obtenido mediante un avalúo técnico.</w:t>
      </w:r>
      <w:r w:rsidR="008E73A5">
        <w:rPr>
          <w:rFonts w:ascii="Verdana" w:hAnsi="Verdana"/>
          <w:sz w:val="20"/>
          <w:szCs w:val="20"/>
        </w:rPr>
        <w:t xml:space="preserve"> </w:t>
      </w:r>
      <w:r w:rsidRPr="008E73A5">
        <w:rPr>
          <w:rFonts w:ascii="Verdana" w:hAnsi="Verdana"/>
          <w:sz w:val="20"/>
          <w:szCs w:val="20"/>
        </w:rPr>
        <w:t xml:space="preserve">El respectivo valor tiene una vigencia máxima de 1 año, a menos que la entidad decida realizar un nuevo avalúo técnico al inmueble, al cabo de este periodo debe actualizar anualmente el valor </w:t>
      </w:r>
      <w:proofErr w:type="gramStart"/>
      <w:r w:rsidRPr="008E73A5">
        <w:rPr>
          <w:rFonts w:ascii="Verdana" w:hAnsi="Verdana"/>
          <w:sz w:val="20"/>
          <w:szCs w:val="20"/>
        </w:rPr>
        <w:t>del mismo</w:t>
      </w:r>
      <w:proofErr w:type="gramEnd"/>
      <w:r w:rsidRPr="008E73A5">
        <w:rPr>
          <w:rFonts w:ascii="Verdana" w:hAnsi="Verdana"/>
          <w:sz w:val="20"/>
          <w:szCs w:val="20"/>
        </w:rPr>
        <w:t>, aplicando los siguientes mecanismos de actualización, según corresponda:</w:t>
      </w:r>
    </w:p>
    <w:p w14:paraId="41404E23" w14:textId="77777777" w:rsidR="00F61283" w:rsidRDefault="00F61283" w:rsidP="00766CA6">
      <w:pPr>
        <w:pStyle w:val="Prrafodelista"/>
        <w:ind w:left="567"/>
        <w:jc w:val="both"/>
        <w:rPr>
          <w:rFonts w:ascii="Verdana" w:hAnsi="Verdana"/>
          <w:sz w:val="20"/>
          <w:szCs w:val="20"/>
        </w:rPr>
      </w:pPr>
    </w:p>
    <w:p w14:paraId="69236417" w14:textId="77777777" w:rsidR="00F61283" w:rsidRDefault="00F61283" w:rsidP="00766CA6">
      <w:pPr>
        <w:pStyle w:val="Prrafodelista"/>
        <w:numPr>
          <w:ilvl w:val="0"/>
          <w:numId w:val="12"/>
        </w:numPr>
        <w:ind w:left="1134" w:hanging="567"/>
        <w:jc w:val="both"/>
        <w:rPr>
          <w:rFonts w:ascii="Verdana" w:hAnsi="Verdana"/>
          <w:sz w:val="20"/>
          <w:szCs w:val="20"/>
        </w:rPr>
      </w:pPr>
      <w:r w:rsidRPr="00F61283">
        <w:rPr>
          <w:rFonts w:ascii="Verdana" w:hAnsi="Verdana"/>
          <w:sz w:val="20"/>
          <w:szCs w:val="20"/>
        </w:rPr>
        <w:t>Inmuebles ubicados en Bogotá D.C.: se deben aplicar los valores de reajuste anual del Índice de Valoración Inmobiliaria Urbana y Rural (IVIUR) adoptado por la Alcaldía Mayor de Bogotá para la vigencia fiscal y el estrato residencial correspondiente.</w:t>
      </w:r>
    </w:p>
    <w:p w14:paraId="29E4964A" w14:textId="77777777" w:rsidR="00F61283" w:rsidRDefault="00F61283" w:rsidP="00766CA6">
      <w:pPr>
        <w:pStyle w:val="Prrafodelista"/>
        <w:ind w:left="1134"/>
        <w:jc w:val="both"/>
        <w:rPr>
          <w:rFonts w:ascii="Verdana" w:hAnsi="Verdana"/>
          <w:sz w:val="20"/>
          <w:szCs w:val="20"/>
        </w:rPr>
      </w:pPr>
    </w:p>
    <w:p w14:paraId="63B78C98" w14:textId="77777777" w:rsidR="00EF4C4C" w:rsidRDefault="00F61283" w:rsidP="00766CA6">
      <w:pPr>
        <w:pStyle w:val="Prrafodelista"/>
        <w:numPr>
          <w:ilvl w:val="0"/>
          <w:numId w:val="12"/>
        </w:numPr>
        <w:ind w:left="1134" w:hanging="567"/>
        <w:jc w:val="both"/>
        <w:rPr>
          <w:rFonts w:ascii="Verdana" w:hAnsi="Verdana"/>
          <w:sz w:val="20"/>
          <w:szCs w:val="20"/>
        </w:rPr>
      </w:pPr>
      <w:r w:rsidRPr="00F61283">
        <w:rPr>
          <w:rFonts w:ascii="Verdana" w:hAnsi="Verdana"/>
          <w:sz w:val="20"/>
          <w:szCs w:val="20"/>
        </w:rPr>
        <w:t>Inmuebles ubicados en Armenia, Barranquilla, Bucaramanga, Cali, Cartagena, Cúcuta, Florencia, Ibagué, Manizales, Medellín, Montería, Neiva, Pasto, Pereira, Popayán, Quibdó, Riohacha, Santa Marta, Sincelejo, Tunja, Valledupar y Villavicencio: Se deben aplicar los valores de reajuste anual del Índice de Valoración Predial (IVP) publicado por el Departamento Administrativo Nacional de Estadística (DANE) para la ciudad respectiva.</w:t>
      </w:r>
    </w:p>
    <w:p w14:paraId="13999CC1" w14:textId="77777777" w:rsidR="00EF4C4C" w:rsidRPr="00EF4C4C" w:rsidRDefault="00EF4C4C" w:rsidP="00766CA6">
      <w:pPr>
        <w:pStyle w:val="Prrafodelista"/>
        <w:jc w:val="both"/>
        <w:rPr>
          <w:rFonts w:ascii="Verdana" w:hAnsi="Verdana"/>
          <w:sz w:val="20"/>
          <w:szCs w:val="20"/>
        </w:rPr>
      </w:pPr>
    </w:p>
    <w:p w14:paraId="75A35CA3" w14:textId="110AFA78" w:rsidR="00C93352" w:rsidRPr="00C93352" w:rsidRDefault="00F61283" w:rsidP="00766CA6">
      <w:pPr>
        <w:pStyle w:val="Prrafodelista"/>
        <w:numPr>
          <w:ilvl w:val="0"/>
          <w:numId w:val="12"/>
        </w:numPr>
        <w:ind w:left="1134" w:hanging="567"/>
        <w:jc w:val="both"/>
        <w:rPr>
          <w:rFonts w:ascii="Verdana" w:hAnsi="Verdana"/>
          <w:sz w:val="20"/>
          <w:szCs w:val="20"/>
        </w:rPr>
      </w:pPr>
      <w:r w:rsidRPr="00EF4C4C">
        <w:rPr>
          <w:rFonts w:ascii="Verdana" w:hAnsi="Verdana"/>
          <w:sz w:val="20"/>
          <w:szCs w:val="20"/>
        </w:rPr>
        <w:t xml:space="preserve">Inmuebles ubicados en lugares distintos a los señalados en los ordinales </w:t>
      </w:r>
      <w:r w:rsidR="00EF4C4C">
        <w:rPr>
          <w:rFonts w:ascii="Verdana" w:hAnsi="Verdana"/>
          <w:sz w:val="20"/>
          <w:szCs w:val="20"/>
        </w:rPr>
        <w:t>(</w:t>
      </w:r>
      <w:r w:rsidRPr="00EF4C4C">
        <w:rPr>
          <w:rFonts w:ascii="Verdana" w:hAnsi="Verdana"/>
          <w:sz w:val="20"/>
          <w:szCs w:val="20"/>
        </w:rPr>
        <w:t>i</w:t>
      </w:r>
      <w:r w:rsidR="00EF4C4C">
        <w:rPr>
          <w:rFonts w:ascii="Verdana" w:hAnsi="Verdana"/>
          <w:sz w:val="20"/>
          <w:szCs w:val="20"/>
        </w:rPr>
        <w:t>)</w:t>
      </w:r>
      <w:r w:rsidRPr="00EF4C4C">
        <w:rPr>
          <w:rFonts w:ascii="Verdana" w:hAnsi="Verdana"/>
          <w:sz w:val="20"/>
          <w:szCs w:val="20"/>
        </w:rPr>
        <w:t xml:space="preserve"> y </w:t>
      </w:r>
      <w:r w:rsidR="00EF4C4C">
        <w:rPr>
          <w:rFonts w:ascii="Verdana" w:hAnsi="Verdana"/>
          <w:sz w:val="20"/>
          <w:szCs w:val="20"/>
        </w:rPr>
        <w:t>(</w:t>
      </w:r>
      <w:proofErr w:type="spellStart"/>
      <w:r w:rsidRPr="00EF4C4C">
        <w:rPr>
          <w:rFonts w:ascii="Verdana" w:hAnsi="Verdana"/>
          <w:sz w:val="20"/>
          <w:szCs w:val="20"/>
        </w:rPr>
        <w:t>ii</w:t>
      </w:r>
      <w:proofErr w:type="spellEnd"/>
      <w:r w:rsidR="00EF4C4C">
        <w:rPr>
          <w:rFonts w:ascii="Verdana" w:hAnsi="Verdana"/>
          <w:sz w:val="20"/>
          <w:szCs w:val="20"/>
        </w:rPr>
        <w:t>)</w:t>
      </w:r>
      <w:r w:rsidRPr="00EF4C4C">
        <w:rPr>
          <w:rFonts w:ascii="Verdana" w:hAnsi="Verdana"/>
          <w:sz w:val="20"/>
          <w:szCs w:val="20"/>
        </w:rPr>
        <w:t>: se deben aplicar los valores de reajuste anual del IVP para el total nacional</w:t>
      </w:r>
      <w:r w:rsidR="009404C5">
        <w:rPr>
          <w:rFonts w:ascii="Verdana" w:hAnsi="Verdana"/>
          <w:sz w:val="20"/>
          <w:szCs w:val="20"/>
        </w:rPr>
        <w:t>.</w:t>
      </w:r>
    </w:p>
    <w:p w14:paraId="2335027C" w14:textId="77777777" w:rsidR="00C93352" w:rsidRDefault="00C93352" w:rsidP="00766CA6">
      <w:pPr>
        <w:pStyle w:val="Prrafodelista"/>
        <w:ind w:left="1134"/>
        <w:jc w:val="both"/>
        <w:rPr>
          <w:rFonts w:ascii="Verdana" w:hAnsi="Verdana"/>
          <w:sz w:val="20"/>
          <w:szCs w:val="20"/>
        </w:rPr>
      </w:pPr>
    </w:p>
    <w:p w14:paraId="1923369E" w14:textId="1A4B1185" w:rsidR="00C93352" w:rsidRDefault="00C93352" w:rsidP="00766CA6">
      <w:pPr>
        <w:pStyle w:val="Prrafodelista"/>
        <w:numPr>
          <w:ilvl w:val="0"/>
          <w:numId w:val="11"/>
        </w:numPr>
        <w:ind w:left="567" w:hanging="567"/>
        <w:jc w:val="both"/>
        <w:rPr>
          <w:rFonts w:ascii="Verdana" w:hAnsi="Verdana"/>
          <w:sz w:val="20"/>
          <w:szCs w:val="20"/>
        </w:rPr>
      </w:pPr>
      <w:r w:rsidRPr="00C93352">
        <w:rPr>
          <w:rFonts w:ascii="Verdana" w:hAnsi="Verdana"/>
          <w:sz w:val="20"/>
          <w:szCs w:val="20"/>
        </w:rPr>
        <w:t>En el caso de garantías constituidas sobre bienes inmuebles no destinados a vivienda, el valor al momento del otorgamiento corresponde al obtenido en un avalúo técnico. Tratándose de inmuebles nuevos o con una antigüedad menor a 1 año, adquiridos por una entidad financiera para suscribir contratos de leasing, el valor al momento del otorgamiento corresponde al valor de adquisición del inmueble o al obtenido mediante un avalúo técnico.</w:t>
      </w:r>
      <w:r w:rsidR="0094138E">
        <w:rPr>
          <w:rFonts w:ascii="Verdana" w:hAnsi="Verdana"/>
          <w:sz w:val="20"/>
          <w:szCs w:val="20"/>
        </w:rPr>
        <w:t xml:space="preserve"> </w:t>
      </w:r>
      <w:r w:rsidRPr="0094138E">
        <w:rPr>
          <w:rFonts w:ascii="Verdana" w:hAnsi="Verdana"/>
          <w:sz w:val="20"/>
          <w:szCs w:val="20"/>
        </w:rPr>
        <w:t>Para la actualización del valor de estas garantías se aplican los siguientes mecanismos, según corresponda:</w:t>
      </w:r>
    </w:p>
    <w:p w14:paraId="55CF20D7" w14:textId="59E2D3DE" w:rsidR="0021415E" w:rsidRDefault="0021415E" w:rsidP="00766CA6">
      <w:pPr>
        <w:pStyle w:val="Prrafodelista"/>
        <w:jc w:val="both"/>
        <w:rPr>
          <w:rFonts w:ascii="Verdana" w:hAnsi="Verdana"/>
          <w:sz w:val="20"/>
          <w:szCs w:val="20"/>
        </w:rPr>
      </w:pPr>
    </w:p>
    <w:p w14:paraId="4C8C1826" w14:textId="77777777" w:rsidR="0021415E" w:rsidRDefault="0021415E" w:rsidP="00766CA6">
      <w:pPr>
        <w:pStyle w:val="Prrafodelista"/>
        <w:numPr>
          <w:ilvl w:val="0"/>
          <w:numId w:val="13"/>
        </w:numPr>
        <w:ind w:left="1134" w:hanging="567"/>
        <w:jc w:val="both"/>
        <w:rPr>
          <w:rFonts w:ascii="Verdana" w:hAnsi="Verdana"/>
          <w:sz w:val="20"/>
          <w:szCs w:val="20"/>
        </w:rPr>
      </w:pPr>
      <w:r w:rsidRPr="0021415E">
        <w:rPr>
          <w:rFonts w:ascii="Verdana" w:hAnsi="Verdana"/>
          <w:sz w:val="20"/>
          <w:szCs w:val="20"/>
        </w:rPr>
        <w:t>Para los inmuebles ubicados en Bogotá D.C.: el avalúo técnico inicial o el valor de adquisición según corresponda, tiene vigencia máxima de 1 año, al cabo de este periodo el valor se debe actualizar anualmente aplicando los valores de reajuste del IVIUR, adoptado por la Alcaldía Mayor de Bogotá para la vigencia fiscal y el tipo de predio correspondiente (Comercial, Depósitos, Industria, Oficinas y otros usos y bodegas).</w:t>
      </w:r>
    </w:p>
    <w:p w14:paraId="1FB11455" w14:textId="77777777" w:rsidR="0021415E" w:rsidRDefault="0021415E" w:rsidP="00766CA6">
      <w:pPr>
        <w:pStyle w:val="Prrafodelista"/>
        <w:ind w:left="1134"/>
        <w:jc w:val="both"/>
        <w:rPr>
          <w:rFonts w:ascii="Verdana" w:hAnsi="Verdana"/>
          <w:sz w:val="20"/>
          <w:szCs w:val="20"/>
        </w:rPr>
      </w:pPr>
    </w:p>
    <w:p w14:paraId="3E9C2610" w14:textId="35873961" w:rsidR="00C93352" w:rsidRPr="0021415E" w:rsidRDefault="0021415E" w:rsidP="00766CA6">
      <w:pPr>
        <w:pStyle w:val="Prrafodelista"/>
        <w:numPr>
          <w:ilvl w:val="0"/>
          <w:numId w:val="13"/>
        </w:numPr>
        <w:ind w:left="1134" w:hanging="567"/>
        <w:jc w:val="both"/>
        <w:rPr>
          <w:rFonts w:ascii="Verdana" w:hAnsi="Verdana"/>
          <w:sz w:val="20"/>
          <w:szCs w:val="20"/>
        </w:rPr>
      </w:pPr>
      <w:r w:rsidRPr="0021415E">
        <w:rPr>
          <w:rFonts w:ascii="Verdana" w:hAnsi="Verdana"/>
          <w:sz w:val="20"/>
          <w:szCs w:val="20"/>
        </w:rPr>
        <w:t>Para los inmuebles ubicados fuera de Bogotá D.C.: el avalúo técnico inicial o el valor de adquisición según corresponda, tiene vigencia máxima de 3 años. Al cabo de este periodo se debe realizar un nuevo avalúo técnico, por lo menos cada 3 años para mantener actualizado el valor de la garantía.</w:t>
      </w:r>
    </w:p>
    <w:p w14:paraId="4B2FE0CD" w14:textId="77777777" w:rsidR="00C65E4E" w:rsidRDefault="00C65E4E" w:rsidP="00766CA6">
      <w:pPr>
        <w:pStyle w:val="Prrafodelista"/>
        <w:ind w:left="567"/>
        <w:jc w:val="both"/>
        <w:rPr>
          <w:rFonts w:ascii="Verdana" w:hAnsi="Verdana"/>
          <w:sz w:val="20"/>
          <w:szCs w:val="20"/>
        </w:rPr>
      </w:pPr>
    </w:p>
    <w:p w14:paraId="47108371" w14:textId="48A347B6" w:rsidR="008D666E" w:rsidRPr="008D666E" w:rsidRDefault="00C65E4E" w:rsidP="00766CA6">
      <w:pPr>
        <w:pStyle w:val="Prrafodelista"/>
        <w:numPr>
          <w:ilvl w:val="0"/>
          <w:numId w:val="11"/>
        </w:numPr>
        <w:ind w:left="567" w:hanging="567"/>
        <w:jc w:val="both"/>
        <w:rPr>
          <w:rFonts w:ascii="Verdana" w:hAnsi="Verdana"/>
          <w:sz w:val="20"/>
          <w:szCs w:val="20"/>
        </w:rPr>
      </w:pPr>
      <w:r w:rsidRPr="00C65E4E">
        <w:rPr>
          <w:rFonts w:ascii="Verdana" w:hAnsi="Verdana"/>
          <w:sz w:val="20"/>
          <w:szCs w:val="20"/>
        </w:rPr>
        <w:t>En el caso de las garantías constituidas sobre los bienes que se relacionan en la siguiente tabla se deben atender las instrucciones que se señalan a continuación, según corresponda:</w:t>
      </w:r>
    </w:p>
    <w:tbl>
      <w:tblPr>
        <w:tblW w:w="5400" w:type="dxa"/>
        <w:jc w:val="center"/>
        <w:tblCellMar>
          <w:left w:w="70" w:type="dxa"/>
          <w:right w:w="70" w:type="dxa"/>
        </w:tblCellMar>
        <w:tblLook w:val="04A0" w:firstRow="1" w:lastRow="0" w:firstColumn="1" w:lastColumn="0" w:noHBand="0" w:noVBand="1"/>
      </w:tblPr>
      <w:tblGrid>
        <w:gridCol w:w="4000"/>
        <w:gridCol w:w="1400"/>
      </w:tblGrid>
      <w:tr w:rsidR="008D666E" w:rsidRPr="008D666E" w14:paraId="6DD719F7" w14:textId="77777777" w:rsidTr="00EE5A39">
        <w:trPr>
          <w:trHeight w:val="640"/>
          <w:tblHeader/>
          <w:jc w:val="center"/>
        </w:trPr>
        <w:tc>
          <w:tcPr>
            <w:tcW w:w="4000"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5AEF7EAC" w14:textId="77777777" w:rsidR="008D666E" w:rsidRPr="0009544D" w:rsidRDefault="008D666E" w:rsidP="00D60154">
            <w:pPr>
              <w:spacing w:after="0" w:line="240" w:lineRule="auto"/>
              <w:jc w:val="center"/>
              <w:rPr>
                <w:rFonts w:ascii="Verdana" w:eastAsia="Times New Roman" w:hAnsi="Verdana" w:cs="Times New Roman"/>
                <w:b/>
                <w:bCs/>
                <w:color w:val="000000"/>
                <w:kern w:val="0"/>
                <w:sz w:val="16"/>
                <w:szCs w:val="16"/>
                <w:lang w:eastAsia="es-CO"/>
                <w14:ligatures w14:val="none"/>
              </w:rPr>
            </w:pPr>
            <w:r w:rsidRPr="0009544D">
              <w:rPr>
                <w:rFonts w:ascii="Verdana" w:eastAsia="Times New Roman" w:hAnsi="Verdana" w:cs="Times New Roman"/>
                <w:b/>
                <w:bCs/>
                <w:color w:val="000000"/>
                <w:kern w:val="0"/>
                <w:sz w:val="16"/>
                <w:szCs w:val="16"/>
                <w:lang w:eastAsia="es-CO"/>
                <w14:ligatures w14:val="none"/>
              </w:rPr>
              <w:t>Tipo de Bien</w:t>
            </w:r>
          </w:p>
        </w:tc>
        <w:tc>
          <w:tcPr>
            <w:tcW w:w="1400"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30DB72FD" w14:textId="77777777" w:rsidR="008D666E" w:rsidRPr="0009544D" w:rsidRDefault="008D666E" w:rsidP="00D60154">
            <w:pPr>
              <w:spacing w:after="0" w:line="240" w:lineRule="auto"/>
              <w:jc w:val="center"/>
              <w:rPr>
                <w:rFonts w:ascii="Verdana" w:eastAsia="Times New Roman" w:hAnsi="Verdana" w:cs="Times New Roman"/>
                <w:b/>
                <w:bCs/>
                <w:color w:val="000000"/>
                <w:kern w:val="0"/>
                <w:sz w:val="16"/>
                <w:szCs w:val="16"/>
                <w:lang w:eastAsia="es-CO"/>
                <w14:ligatures w14:val="none"/>
              </w:rPr>
            </w:pPr>
            <w:r w:rsidRPr="0009544D">
              <w:rPr>
                <w:rFonts w:ascii="Verdana" w:eastAsia="Times New Roman" w:hAnsi="Verdana" w:cs="Times New Roman"/>
                <w:b/>
                <w:bCs/>
                <w:kern w:val="0"/>
                <w:sz w:val="16"/>
                <w:szCs w:val="16"/>
                <w:lang w:eastAsia="es-CO"/>
                <w14:ligatures w14:val="none"/>
              </w:rPr>
              <w:t>Vida útil (Años)</w:t>
            </w:r>
          </w:p>
        </w:tc>
      </w:tr>
      <w:tr w:rsidR="008D666E" w:rsidRPr="008D666E" w14:paraId="65B22AA2" w14:textId="77777777" w:rsidTr="008D666E">
        <w:trPr>
          <w:trHeight w:val="290"/>
          <w:jc w:val="center"/>
        </w:trPr>
        <w:tc>
          <w:tcPr>
            <w:tcW w:w="4000" w:type="dxa"/>
            <w:tcBorders>
              <w:top w:val="nil"/>
              <w:left w:val="single" w:sz="4" w:space="0" w:color="auto"/>
              <w:bottom w:val="single" w:sz="4" w:space="0" w:color="auto"/>
              <w:right w:val="single" w:sz="4" w:space="0" w:color="auto"/>
            </w:tcBorders>
            <w:vAlign w:val="center"/>
            <w:hideMark/>
          </w:tcPr>
          <w:p w14:paraId="700C1290" w14:textId="77777777" w:rsidR="008D666E" w:rsidRPr="0009544D" w:rsidRDefault="008D666E" w:rsidP="00766CA6">
            <w:pPr>
              <w:spacing w:after="0" w:line="240" w:lineRule="auto"/>
              <w:jc w:val="both"/>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Arial"/>
                <w:color w:val="000000"/>
                <w:kern w:val="0"/>
                <w:sz w:val="16"/>
                <w:szCs w:val="16"/>
                <w:lang w:eastAsia="es-CO"/>
                <w14:ligatures w14:val="none"/>
              </w:rPr>
              <w:t>Software</w:t>
            </w:r>
          </w:p>
        </w:tc>
        <w:tc>
          <w:tcPr>
            <w:tcW w:w="1400" w:type="dxa"/>
            <w:tcBorders>
              <w:top w:val="nil"/>
              <w:left w:val="nil"/>
              <w:bottom w:val="single" w:sz="4" w:space="0" w:color="auto"/>
              <w:right w:val="single" w:sz="4" w:space="0" w:color="auto"/>
            </w:tcBorders>
            <w:vAlign w:val="center"/>
            <w:hideMark/>
          </w:tcPr>
          <w:p w14:paraId="1A3105A4" w14:textId="77777777" w:rsidR="008D666E" w:rsidRPr="0009544D" w:rsidRDefault="008D666E" w:rsidP="00D60154">
            <w:pPr>
              <w:spacing w:after="0" w:line="240" w:lineRule="auto"/>
              <w:jc w:val="center"/>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Times New Roman"/>
                <w:color w:val="000000"/>
                <w:kern w:val="0"/>
                <w:sz w:val="16"/>
                <w:szCs w:val="16"/>
                <w:lang w:eastAsia="es-CO"/>
                <w14:ligatures w14:val="none"/>
              </w:rPr>
              <w:t>3</w:t>
            </w:r>
          </w:p>
        </w:tc>
      </w:tr>
      <w:tr w:rsidR="008D666E" w:rsidRPr="008D666E" w14:paraId="22EA563D" w14:textId="77777777" w:rsidTr="008D666E">
        <w:trPr>
          <w:trHeight w:val="290"/>
          <w:jc w:val="center"/>
        </w:trPr>
        <w:tc>
          <w:tcPr>
            <w:tcW w:w="4000" w:type="dxa"/>
            <w:tcBorders>
              <w:top w:val="nil"/>
              <w:left w:val="single" w:sz="4" w:space="0" w:color="auto"/>
              <w:bottom w:val="single" w:sz="4" w:space="0" w:color="auto"/>
              <w:right w:val="single" w:sz="4" w:space="0" w:color="auto"/>
            </w:tcBorders>
            <w:vAlign w:val="center"/>
            <w:hideMark/>
          </w:tcPr>
          <w:p w14:paraId="7F1A82AE" w14:textId="77777777" w:rsidR="008D666E" w:rsidRPr="0009544D" w:rsidRDefault="008D666E" w:rsidP="00766CA6">
            <w:pPr>
              <w:spacing w:after="0" w:line="240" w:lineRule="auto"/>
              <w:jc w:val="both"/>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Arial"/>
                <w:color w:val="000000"/>
                <w:kern w:val="0"/>
                <w:sz w:val="16"/>
                <w:szCs w:val="16"/>
                <w:lang w:eastAsia="es-CO"/>
                <w14:ligatures w14:val="none"/>
              </w:rPr>
              <w:t>Hardware</w:t>
            </w:r>
          </w:p>
        </w:tc>
        <w:tc>
          <w:tcPr>
            <w:tcW w:w="1400" w:type="dxa"/>
            <w:vMerge w:val="restart"/>
            <w:tcBorders>
              <w:top w:val="nil"/>
              <w:left w:val="single" w:sz="4" w:space="0" w:color="auto"/>
              <w:bottom w:val="single" w:sz="4" w:space="0" w:color="auto"/>
              <w:right w:val="single" w:sz="4" w:space="0" w:color="auto"/>
            </w:tcBorders>
            <w:vAlign w:val="center"/>
            <w:hideMark/>
          </w:tcPr>
          <w:p w14:paraId="37145AC0" w14:textId="77777777" w:rsidR="008D666E" w:rsidRPr="0009544D" w:rsidRDefault="008D666E" w:rsidP="00D60154">
            <w:pPr>
              <w:spacing w:after="0" w:line="240" w:lineRule="auto"/>
              <w:jc w:val="center"/>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Times New Roman"/>
                <w:color w:val="000000"/>
                <w:kern w:val="0"/>
                <w:sz w:val="16"/>
                <w:szCs w:val="16"/>
                <w:lang w:eastAsia="es-CO"/>
                <w14:ligatures w14:val="none"/>
              </w:rPr>
              <w:t>5</w:t>
            </w:r>
          </w:p>
        </w:tc>
      </w:tr>
      <w:tr w:rsidR="008D666E" w:rsidRPr="008D666E" w14:paraId="346F381F" w14:textId="77777777" w:rsidTr="008D666E">
        <w:trPr>
          <w:trHeight w:val="290"/>
          <w:jc w:val="center"/>
        </w:trPr>
        <w:tc>
          <w:tcPr>
            <w:tcW w:w="4000" w:type="dxa"/>
            <w:tcBorders>
              <w:top w:val="nil"/>
              <w:left w:val="single" w:sz="4" w:space="0" w:color="auto"/>
              <w:bottom w:val="single" w:sz="4" w:space="0" w:color="auto"/>
              <w:right w:val="single" w:sz="4" w:space="0" w:color="auto"/>
            </w:tcBorders>
            <w:vAlign w:val="center"/>
            <w:hideMark/>
          </w:tcPr>
          <w:p w14:paraId="12FB1783" w14:textId="77777777" w:rsidR="008D666E" w:rsidRPr="0009544D" w:rsidRDefault="008D666E" w:rsidP="00766CA6">
            <w:pPr>
              <w:spacing w:after="0" w:line="240" w:lineRule="auto"/>
              <w:jc w:val="both"/>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Arial"/>
                <w:color w:val="000000"/>
                <w:kern w:val="0"/>
                <w:sz w:val="16"/>
                <w:szCs w:val="16"/>
                <w:lang w:eastAsia="es-CO"/>
                <w14:ligatures w14:val="none"/>
              </w:rPr>
              <w:t>Muebles y enseres</w:t>
            </w:r>
          </w:p>
        </w:tc>
        <w:tc>
          <w:tcPr>
            <w:tcW w:w="1400" w:type="dxa"/>
            <w:vMerge/>
            <w:tcBorders>
              <w:top w:val="nil"/>
              <w:left w:val="single" w:sz="4" w:space="0" w:color="auto"/>
              <w:bottom w:val="single" w:sz="4" w:space="0" w:color="auto"/>
              <w:right w:val="single" w:sz="4" w:space="0" w:color="auto"/>
            </w:tcBorders>
            <w:vAlign w:val="center"/>
            <w:hideMark/>
          </w:tcPr>
          <w:p w14:paraId="45C1BCA7" w14:textId="77777777" w:rsidR="008D666E" w:rsidRPr="0009544D" w:rsidRDefault="008D666E" w:rsidP="00D60154">
            <w:pPr>
              <w:spacing w:after="0" w:line="240" w:lineRule="auto"/>
              <w:jc w:val="center"/>
              <w:rPr>
                <w:rFonts w:ascii="Verdana" w:eastAsia="Times New Roman" w:hAnsi="Verdana" w:cs="Times New Roman"/>
                <w:color w:val="000000"/>
                <w:kern w:val="0"/>
                <w:sz w:val="16"/>
                <w:szCs w:val="16"/>
                <w:lang w:eastAsia="es-CO"/>
                <w14:ligatures w14:val="none"/>
              </w:rPr>
            </w:pPr>
          </w:p>
        </w:tc>
      </w:tr>
      <w:tr w:rsidR="008D666E" w:rsidRPr="008D666E" w14:paraId="7D793991" w14:textId="77777777" w:rsidTr="008D666E">
        <w:trPr>
          <w:trHeight w:val="290"/>
          <w:jc w:val="center"/>
        </w:trPr>
        <w:tc>
          <w:tcPr>
            <w:tcW w:w="4000" w:type="dxa"/>
            <w:tcBorders>
              <w:top w:val="nil"/>
              <w:left w:val="single" w:sz="4" w:space="0" w:color="auto"/>
              <w:bottom w:val="single" w:sz="4" w:space="0" w:color="auto"/>
              <w:right w:val="single" w:sz="4" w:space="0" w:color="auto"/>
            </w:tcBorders>
            <w:vAlign w:val="center"/>
            <w:hideMark/>
          </w:tcPr>
          <w:p w14:paraId="29C8D4DB" w14:textId="77777777" w:rsidR="008D666E" w:rsidRPr="0009544D" w:rsidRDefault="008D666E" w:rsidP="00766CA6">
            <w:pPr>
              <w:spacing w:after="0" w:line="240" w:lineRule="auto"/>
              <w:jc w:val="both"/>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Arial"/>
                <w:color w:val="000000"/>
                <w:kern w:val="0"/>
                <w:sz w:val="16"/>
                <w:szCs w:val="16"/>
                <w:lang w:eastAsia="es-CO"/>
                <w14:ligatures w14:val="none"/>
              </w:rPr>
              <w:t>Electrodomésticos y gasodomésticos</w:t>
            </w:r>
          </w:p>
        </w:tc>
        <w:tc>
          <w:tcPr>
            <w:tcW w:w="1400" w:type="dxa"/>
            <w:vMerge/>
            <w:tcBorders>
              <w:top w:val="nil"/>
              <w:left w:val="single" w:sz="4" w:space="0" w:color="auto"/>
              <w:bottom w:val="single" w:sz="4" w:space="0" w:color="auto"/>
              <w:right w:val="single" w:sz="4" w:space="0" w:color="auto"/>
            </w:tcBorders>
            <w:vAlign w:val="center"/>
            <w:hideMark/>
          </w:tcPr>
          <w:p w14:paraId="189A9600" w14:textId="77777777" w:rsidR="008D666E" w:rsidRPr="0009544D" w:rsidRDefault="008D666E" w:rsidP="00D60154">
            <w:pPr>
              <w:spacing w:after="0" w:line="240" w:lineRule="auto"/>
              <w:jc w:val="center"/>
              <w:rPr>
                <w:rFonts w:ascii="Verdana" w:eastAsia="Times New Roman" w:hAnsi="Verdana" w:cs="Times New Roman"/>
                <w:color w:val="000000"/>
                <w:kern w:val="0"/>
                <w:sz w:val="16"/>
                <w:szCs w:val="16"/>
                <w:lang w:eastAsia="es-CO"/>
                <w14:ligatures w14:val="none"/>
              </w:rPr>
            </w:pPr>
          </w:p>
        </w:tc>
      </w:tr>
      <w:tr w:rsidR="008D666E" w:rsidRPr="008D666E" w14:paraId="5BF8189F" w14:textId="77777777" w:rsidTr="008D666E">
        <w:trPr>
          <w:trHeight w:val="290"/>
          <w:jc w:val="center"/>
        </w:trPr>
        <w:tc>
          <w:tcPr>
            <w:tcW w:w="4000" w:type="dxa"/>
            <w:tcBorders>
              <w:top w:val="nil"/>
              <w:left w:val="single" w:sz="4" w:space="0" w:color="auto"/>
              <w:bottom w:val="single" w:sz="4" w:space="0" w:color="auto"/>
              <w:right w:val="single" w:sz="4" w:space="0" w:color="auto"/>
            </w:tcBorders>
            <w:vAlign w:val="center"/>
            <w:hideMark/>
          </w:tcPr>
          <w:p w14:paraId="2EA25907" w14:textId="77777777" w:rsidR="008D666E" w:rsidRPr="0009544D" w:rsidRDefault="008D666E" w:rsidP="00766CA6">
            <w:pPr>
              <w:spacing w:after="0" w:line="240" w:lineRule="auto"/>
              <w:jc w:val="both"/>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Arial"/>
                <w:color w:val="000000"/>
                <w:kern w:val="0"/>
                <w:sz w:val="16"/>
                <w:szCs w:val="16"/>
                <w:lang w:eastAsia="es-CO"/>
                <w14:ligatures w14:val="none"/>
              </w:rPr>
              <w:t>Maquinaria y equipo industrial</w:t>
            </w:r>
          </w:p>
        </w:tc>
        <w:tc>
          <w:tcPr>
            <w:tcW w:w="1400" w:type="dxa"/>
            <w:vMerge w:val="restart"/>
            <w:tcBorders>
              <w:top w:val="nil"/>
              <w:left w:val="single" w:sz="4" w:space="0" w:color="auto"/>
              <w:bottom w:val="single" w:sz="4" w:space="0" w:color="auto"/>
              <w:right w:val="single" w:sz="4" w:space="0" w:color="auto"/>
            </w:tcBorders>
            <w:vAlign w:val="center"/>
            <w:hideMark/>
          </w:tcPr>
          <w:p w14:paraId="253E2402" w14:textId="77777777" w:rsidR="008D666E" w:rsidRPr="0009544D" w:rsidRDefault="008D666E" w:rsidP="00D60154">
            <w:pPr>
              <w:spacing w:after="0" w:line="240" w:lineRule="auto"/>
              <w:jc w:val="center"/>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Times New Roman"/>
                <w:color w:val="000000"/>
                <w:kern w:val="0"/>
                <w:sz w:val="16"/>
                <w:szCs w:val="16"/>
                <w:lang w:eastAsia="es-CO"/>
                <w14:ligatures w14:val="none"/>
              </w:rPr>
              <w:t>10</w:t>
            </w:r>
          </w:p>
        </w:tc>
      </w:tr>
      <w:tr w:rsidR="008D666E" w:rsidRPr="008D666E" w14:paraId="4B40BC94" w14:textId="77777777" w:rsidTr="008D666E">
        <w:trPr>
          <w:trHeight w:val="290"/>
          <w:jc w:val="center"/>
        </w:trPr>
        <w:tc>
          <w:tcPr>
            <w:tcW w:w="4000" w:type="dxa"/>
            <w:tcBorders>
              <w:top w:val="nil"/>
              <w:left w:val="single" w:sz="4" w:space="0" w:color="auto"/>
              <w:bottom w:val="single" w:sz="4" w:space="0" w:color="auto"/>
              <w:right w:val="single" w:sz="4" w:space="0" w:color="auto"/>
            </w:tcBorders>
            <w:vAlign w:val="center"/>
            <w:hideMark/>
          </w:tcPr>
          <w:p w14:paraId="57D578EE" w14:textId="77777777" w:rsidR="008D666E" w:rsidRPr="0009544D" w:rsidRDefault="008D666E" w:rsidP="00766CA6">
            <w:pPr>
              <w:spacing w:after="0" w:line="240" w:lineRule="auto"/>
              <w:jc w:val="both"/>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Arial"/>
                <w:color w:val="000000"/>
                <w:kern w:val="0"/>
                <w:sz w:val="16"/>
                <w:szCs w:val="16"/>
                <w:lang w:eastAsia="es-CO"/>
                <w14:ligatures w14:val="none"/>
              </w:rPr>
              <w:t>Maquinaria Amarilla</w:t>
            </w:r>
          </w:p>
        </w:tc>
        <w:tc>
          <w:tcPr>
            <w:tcW w:w="1400" w:type="dxa"/>
            <w:vMerge/>
            <w:tcBorders>
              <w:top w:val="nil"/>
              <w:left w:val="single" w:sz="4" w:space="0" w:color="auto"/>
              <w:bottom w:val="single" w:sz="4" w:space="0" w:color="auto"/>
              <w:right w:val="single" w:sz="4" w:space="0" w:color="auto"/>
            </w:tcBorders>
            <w:vAlign w:val="center"/>
            <w:hideMark/>
          </w:tcPr>
          <w:p w14:paraId="338D3541" w14:textId="77777777" w:rsidR="008D666E" w:rsidRPr="008D666E" w:rsidRDefault="008D666E" w:rsidP="00766CA6">
            <w:pPr>
              <w:spacing w:after="0" w:line="240" w:lineRule="auto"/>
              <w:jc w:val="both"/>
              <w:rPr>
                <w:rFonts w:ascii="Verdana" w:eastAsia="Times New Roman" w:hAnsi="Verdana" w:cs="Times New Roman"/>
                <w:color w:val="000000"/>
                <w:kern w:val="0"/>
                <w:sz w:val="20"/>
                <w:szCs w:val="20"/>
                <w:lang w:eastAsia="es-CO"/>
                <w14:ligatures w14:val="none"/>
              </w:rPr>
            </w:pPr>
          </w:p>
        </w:tc>
      </w:tr>
      <w:tr w:rsidR="008D666E" w:rsidRPr="008D666E" w14:paraId="04438A71" w14:textId="77777777" w:rsidTr="008D666E">
        <w:trPr>
          <w:trHeight w:val="290"/>
          <w:jc w:val="center"/>
        </w:trPr>
        <w:tc>
          <w:tcPr>
            <w:tcW w:w="4000" w:type="dxa"/>
            <w:tcBorders>
              <w:top w:val="nil"/>
              <w:left w:val="single" w:sz="4" w:space="0" w:color="auto"/>
              <w:bottom w:val="single" w:sz="4" w:space="0" w:color="auto"/>
              <w:right w:val="single" w:sz="4" w:space="0" w:color="auto"/>
            </w:tcBorders>
            <w:vAlign w:val="center"/>
            <w:hideMark/>
          </w:tcPr>
          <w:p w14:paraId="0D8F5BED" w14:textId="77777777" w:rsidR="008D666E" w:rsidRPr="0009544D" w:rsidRDefault="008D666E" w:rsidP="00766CA6">
            <w:pPr>
              <w:spacing w:after="0" w:line="240" w:lineRule="auto"/>
              <w:jc w:val="both"/>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Arial"/>
                <w:color w:val="000000"/>
                <w:kern w:val="0"/>
                <w:sz w:val="16"/>
                <w:szCs w:val="16"/>
                <w:lang w:eastAsia="es-CO"/>
                <w14:ligatures w14:val="none"/>
              </w:rPr>
              <w:t>Maquinaria Agrícola</w:t>
            </w:r>
          </w:p>
        </w:tc>
        <w:tc>
          <w:tcPr>
            <w:tcW w:w="1400" w:type="dxa"/>
            <w:vMerge/>
            <w:tcBorders>
              <w:top w:val="nil"/>
              <w:left w:val="single" w:sz="4" w:space="0" w:color="auto"/>
              <w:bottom w:val="single" w:sz="4" w:space="0" w:color="auto"/>
              <w:right w:val="single" w:sz="4" w:space="0" w:color="auto"/>
            </w:tcBorders>
            <w:vAlign w:val="center"/>
            <w:hideMark/>
          </w:tcPr>
          <w:p w14:paraId="4FC644A0" w14:textId="77777777" w:rsidR="008D666E" w:rsidRPr="008D666E" w:rsidRDefault="008D666E" w:rsidP="00766CA6">
            <w:pPr>
              <w:spacing w:after="0" w:line="240" w:lineRule="auto"/>
              <w:jc w:val="both"/>
              <w:rPr>
                <w:rFonts w:ascii="Verdana" w:eastAsia="Times New Roman" w:hAnsi="Verdana" w:cs="Times New Roman"/>
                <w:color w:val="000000"/>
                <w:kern w:val="0"/>
                <w:sz w:val="20"/>
                <w:szCs w:val="20"/>
                <w:lang w:eastAsia="es-CO"/>
                <w14:ligatures w14:val="none"/>
              </w:rPr>
            </w:pPr>
          </w:p>
        </w:tc>
      </w:tr>
      <w:tr w:rsidR="008D666E" w:rsidRPr="008D666E" w14:paraId="3F23321E" w14:textId="77777777" w:rsidTr="008D666E">
        <w:trPr>
          <w:trHeight w:val="290"/>
          <w:jc w:val="center"/>
        </w:trPr>
        <w:tc>
          <w:tcPr>
            <w:tcW w:w="4000" w:type="dxa"/>
            <w:tcBorders>
              <w:top w:val="nil"/>
              <w:left w:val="single" w:sz="4" w:space="0" w:color="auto"/>
              <w:bottom w:val="single" w:sz="4" w:space="0" w:color="auto"/>
              <w:right w:val="single" w:sz="4" w:space="0" w:color="auto"/>
            </w:tcBorders>
            <w:vAlign w:val="center"/>
            <w:hideMark/>
          </w:tcPr>
          <w:p w14:paraId="2E22BC23" w14:textId="77777777" w:rsidR="008D666E" w:rsidRPr="0009544D" w:rsidRDefault="008D666E" w:rsidP="00766CA6">
            <w:pPr>
              <w:spacing w:after="0" w:line="240" w:lineRule="auto"/>
              <w:jc w:val="both"/>
              <w:rPr>
                <w:rFonts w:ascii="Verdana" w:eastAsia="Times New Roman" w:hAnsi="Verdana" w:cs="Times New Roman"/>
                <w:color w:val="000000"/>
                <w:kern w:val="0"/>
                <w:sz w:val="16"/>
                <w:szCs w:val="16"/>
                <w:lang w:eastAsia="es-CO"/>
                <w14:ligatures w14:val="none"/>
              </w:rPr>
            </w:pPr>
            <w:r w:rsidRPr="0009544D">
              <w:rPr>
                <w:rFonts w:ascii="Verdana" w:eastAsia="Times New Roman" w:hAnsi="Verdana" w:cs="Arial"/>
                <w:color w:val="000000"/>
                <w:kern w:val="0"/>
                <w:sz w:val="16"/>
                <w:szCs w:val="16"/>
                <w:lang w:eastAsia="es-CO"/>
                <w14:ligatures w14:val="none"/>
              </w:rPr>
              <w:t>Barcos, trenes y aeronaves</w:t>
            </w:r>
          </w:p>
        </w:tc>
        <w:tc>
          <w:tcPr>
            <w:tcW w:w="1400" w:type="dxa"/>
            <w:vMerge/>
            <w:tcBorders>
              <w:top w:val="nil"/>
              <w:left w:val="single" w:sz="4" w:space="0" w:color="auto"/>
              <w:bottom w:val="single" w:sz="4" w:space="0" w:color="auto"/>
              <w:right w:val="single" w:sz="4" w:space="0" w:color="auto"/>
            </w:tcBorders>
            <w:vAlign w:val="center"/>
            <w:hideMark/>
          </w:tcPr>
          <w:p w14:paraId="05984F34" w14:textId="77777777" w:rsidR="008D666E" w:rsidRPr="008D666E" w:rsidRDefault="008D666E" w:rsidP="00766CA6">
            <w:pPr>
              <w:spacing w:after="0" w:line="240" w:lineRule="auto"/>
              <w:jc w:val="both"/>
              <w:rPr>
                <w:rFonts w:ascii="Verdana" w:eastAsia="Times New Roman" w:hAnsi="Verdana" w:cs="Times New Roman"/>
                <w:color w:val="000000"/>
                <w:kern w:val="0"/>
                <w:sz w:val="20"/>
                <w:szCs w:val="20"/>
                <w:lang w:eastAsia="es-CO"/>
                <w14:ligatures w14:val="none"/>
              </w:rPr>
            </w:pPr>
          </w:p>
        </w:tc>
      </w:tr>
    </w:tbl>
    <w:p w14:paraId="64262866" w14:textId="77777777" w:rsidR="008D666E" w:rsidRDefault="008D666E" w:rsidP="00766CA6">
      <w:pPr>
        <w:pStyle w:val="Prrafodelista"/>
        <w:ind w:left="1134"/>
        <w:jc w:val="both"/>
        <w:rPr>
          <w:rFonts w:ascii="Verdana" w:hAnsi="Verdana"/>
          <w:sz w:val="20"/>
          <w:szCs w:val="20"/>
        </w:rPr>
      </w:pPr>
    </w:p>
    <w:p w14:paraId="552BFDF4" w14:textId="4EEF9BBC" w:rsidR="00DA2EF7" w:rsidRDefault="000B7F0B" w:rsidP="00766CA6">
      <w:pPr>
        <w:pStyle w:val="Prrafodelista"/>
        <w:numPr>
          <w:ilvl w:val="0"/>
          <w:numId w:val="14"/>
        </w:numPr>
        <w:ind w:left="1134" w:hanging="567"/>
        <w:jc w:val="both"/>
        <w:rPr>
          <w:rFonts w:ascii="Verdana" w:hAnsi="Verdana"/>
          <w:sz w:val="20"/>
          <w:szCs w:val="20"/>
        </w:rPr>
      </w:pPr>
      <w:r w:rsidRPr="000B7F0B">
        <w:rPr>
          <w:rFonts w:ascii="Verdana" w:hAnsi="Verdana"/>
          <w:sz w:val="20"/>
          <w:szCs w:val="20"/>
        </w:rPr>
        <w:lastRenderedPageBreak/>
        <w:t>Bienes nuevos o con una antigüedad menor a 1 año: la entidad debe utilizar como valor de la garantía al momento del otorgamiento, el valor de compra registrado en la factura correspondiente, este valor es válido por 1 año. Al cabo de este periodo se debe actualizar anualmente el valor, aplicando la metodología de depreciación en línea recta y acorde con la vida útil del respectivo bien.</w:t>
      </w:r>
    </w:p>
    <w:p w14:paraId="6E88E2B2" w14:textId="77777777" w:rsidR="00DA2EF7" w:rsidRDefault="00DA2EF7" w:rsidP="00766CA6">
      <w:pPr>
        <w:pStyle w:val="Prrafodelista"/>
        <w:ind w:left="1134"/>
        <w:jc w:val="both"/>
        <w:rPr>
          <w:rFonts w:ascii="Verdana" w:hAnsi="Verdana"/>
          <w:sz w:val="20"/>
          <w:szCs w:val="20"/>
        </w:rPr>
      </w:pPr>
    </w:p>
    <w:p w14:paraId="2F7C8977" w14:textId="20AE0481" w:rsidR="007A1505" w:rsidRPr="008E7A7A" w:rsidRDefault="00DA2EF7" w:rsidP="00766CA6">
      <w:pPr>
        <w:pStyle w:val="Prrafodelista"/>
        <w:numPr>
          <w:ilvl w:val="0"/>
          <w:numId w:val="14"/>
        </w:numPr>
        <w:ind w:left="1134" w:hanging="567"/>
        <w:jc w:val="both"/>
        <w:rPr>
          <w:rFonts w:ascii="Verdana" w:hAnsi="Verdana"/>
          <w:sz w:val="20"/>
          <w:szCs w:val="20"/>
        </w:rPr>
      </w:pPr>
      <w:r w:rsidRPr="00DA2EF7">
        <w:rPr>
          <w:rFonts w:ascii="Verdana" w:hAnsi="Verdana"/>
          <w:sz w:val="20"/>
          <w:szCs w:val="20"/>
        </w:rPr>
        <w:t>Bienes con una antigüedad mayor a 1 año: la entidad debe utilizar como valor de la garantía al momento del otorgamiento, el obtenido en un avalúo técnico,</w:t>
      </w:r>
      <w:r w:rsidR="0027629E">
        <w:rPr>
          <w:rFonts w:ascii="Verdana" w:hAnsi="Verdana"/>
          <w:sz w:val="20"/>
          <w:szCs w:val="20"/>
        </w:rPr>
        <w:t xml:space="preserve"> y</w:t>
      </w:r>
      <w:r w:rsidRPr="00DA2EF7">
        <w:rPr>
          <w:rFonts w:ascii="Verdana" w:hAnsi="Verdana"/>
          <w:sz w:val="20"/>
          <w:szCs w:val="20"/>
        </w:rPr>
        <w:t xml:space="preserve"> este valor es válido por 1 año. Al cabo de este periodo se debe actualizar anualmente el valor, aplicando la metodología de depreciación en línea recta y acorde con la vida útil del respectivo bien.</w:t>
      </w:r>
      <w:r w:rsidR="008E7A7A">
        <w:rPr>
          <w:rFonts w:ascii="Verdana" w:hAnsi="Verdana"/>
          <w:sz w:val="20"/>
          <w:szCs w:val="20"/>
        </w:rPr>
        <w:t xml:space="preserve"> </w:t>
      </w:r>
      <w:r w:rsidR="007A1505" w:rsidRPr="008E7A7A">
        <w:rPr>
          <w:rFonts w:ascii="Verdana" w:hAnsi="Verdana"/>
          <w:sz w:val="20"/>
          <w:szCs w:val="20"/>
        </w:rPr>
        <w:t>En el caso en que el bien sea objeto de una modificación o una repotenciación que incremente su vida útil, se debe realizar un nuevo avalúo técnico para ajustar el valor de la garantía, este valor es válido por 1 año. Al cabo de este periodo se debe actualizar anualmente el valor, con base en la metodología de depreciación en línea recta y conforme a la vida útil del respectivo bien.</w:t>
      </w:r>
    </w:p>
    <w:p w14:paraId="56D0074C" w14:textId="77777777" w:rsidR="00013354" w:rsidRDefault="00013354" w:rsidP="00766CA6">
      <w:pPr>
        <w:pStyle w:val="Prrafodelista"/>
        <w:ind w:left="567"/>
        <w:jc w:val="both"/>
        <w:rPr>
          <w:rFonts w:ascii="Verdana" w:hAnsi="Verdana"/>
          <w:sz w:val="20"/>
          <w:szCs w:val="20"/>
        </w:rPr>
      </w:pPr>
    </w:p>
    <w:p w14:paraId="433E9937" w14:textId="71278AC8" w:rsidR="00013354" w:rsidRDefault="00013354" w:rsidP="00766CA6">
      <w:pPr>
        <w:pStyle w:val="Prrafodelista"/>
        <w:numPr>
          <w:ilvl w:val="0"/>
          <w:numId w:val="11"/>
        </w:numPr>
        <w:ind w:left="567" w:hanging="567"/>
        <w:jc w:val="both"/>
        <w:rPr>
          <w:rFonts w:ascii="Verdana" w:hAnsi="Verdana"/>
          <w:sz w:val="20"/>
          <w:szCs w:val="20"/>
        </w:rPr>
      </w:pPr>
      <w:r w:rsidRPr="00013354">
        <w:rPr>
          <w:rFonts w:ascii="Verdana" w:hAnsi="Verdana"/>
          <w:sz w:val="20"/>
          <w:szCs w:val="20"/>
        </w:rPr>
        <w:t xml:space="preserve">Sin perjuicio de las instrucciones anteriores, a juicio de la entidad se pueden realizar avalúos técnicos de los bienes </w:t>
      </w:r>
      <w:r w:rsidR="00BE76A0">
        <w:rPr>
          <w:rFonts w:ascii="Verdana" w:hAnsi="Verdana"/>
          <w:sz w:val="20"/>
          <w:szCs w:val="20"/>
        </w:rPr>
        <w:t xml:space="preserve">de </w:t>
      </w:r>
      <w:r w:rsidRPr="00013354">
        <w:rPr>
          <w:rFonts w:ascii="Verdana" w:hAnsi="Verdana"/>
          <w:sz w:val="20"/>
          <w:szCs w:val="20"/>
        </w:rPr>
        <w:t xml:space="preserve">que trata el </w:t>
      </w:r>
      <w:r w:rsidRPr="00BE76A0">
        <w:rPr>
          <w:rFonts w:ascii="Verdana" w:hAnsi="Verdana"/>
          <w:sz w:val="20"/>
          <w:szCs w:val="20"/>
        </w:rPr>
        <w:t>literal (c)</w:t>
      </w:r>
      <w:r w:rsidR="00BF2624" w:rsidRPr="00BE76A0">
        <w:rPr>
          <w:rFonts w:ascii="Verdana" w:hAnsi="Verdana"/>
          <w:sz w:val="20"/>
          <w:szCs w:val="20"/>
        </w:rPr>
        <w:t xml:space="preserve"> del</w:t>
      </w:r>
      <w:r w:rsidR="00BE76A0">
        <w:rPr>
          <w:rFonts w:ascii="Verdana" w:hAnsi="Verdana"/>
          <w:sz w:val="20"/>
          <w:szCs w:val="20"/>
        </w:rPr>
        <w:t xml:space="preserve"> párrafo</w:t>
      </w:r>
      <w:r w:rsidR="00BF2624" w:rsidRPr="00BE76A0">
        <w:rPr>
          <w:rFonts w:ascii="Verdana" w:hAnsi="Verdana"/>
          <w:sz w:val="20"/>
          <w:szCs w:val="20"/>
        </w:rPr>
        <w:t xml:space="preserve"> </w:t>
      </w:r>
      <w:r w:rsidR="00BE76A0" w:rsidRPr="00BE76A0">
        <w:rPr>
          <w:rFonts w:ascii="Verdana" w:hAnsi="Verdana"/>
          <w:sz w:val="20"/>
          <w:szCs w:val="20"/>
        </w:rPr>
        <w:t>1.1.2.38.</w:t>
      </w:r>
      <w:r w:rsidRPr="00013354">
        <w:rPr>
          <w:rFonts w:ascii="Verdana" w:hAnsi="Verdana"/>
          <w:sz w:val="20"/>
          <w:szCs w:val="20"/>
        </w:rPr>
        <w:t xml:space="preserve"> a efectos de valorar las garantías. Este avalúo es válido por 1 año. Al cabo de este periodo se debe actualizar anualmente el valor con base en la metodología de depreciación en línea recta y conforme a la vida útil del respectivo bien.</w:t>
      </w:r>
    </w:p>
    <w:p w14:paraId="67E94D9D" w14:textId="77777777" w:rsidR="0001220B" w:rsidRPr="0001220B" w:rsidRDefault="0001220B" w:rsidP="00766CA6">
      <w:pPr>
        <w:pStyle w:val="Prrafodelista"/>
        <w:ind w:left="567"/>
        <w:jc w:val="both"/>
        <w:rPr>
          <w:rFonts w:ascii="Verdana" w:hAnsi="Verdana"/>
          <w:sz w:val="20"/>
          <w:szCs w:val="20"/>
        </w:rPr>
      </w:pPr>
    </w:p>
    <w:p w14:paraId="4982F033" w14:textId="485B2EDC" w:rsidR="0001220B" w:rsidRDefault="0001220B" w:rsidP="00766CA6">
      <w:pPr>
        <w:pStyle w:val="Prrafodelista"/>
        <w:numPr>
          <w:ilvl w:val="0"/>
          <w:numId w:val="11"/>
        </w:numPr>
        <w:ind w:left="567" w:hanging="567"/>
        <w:jc w:val="both"/>
        <w:rPr>
          <w:rFonts w:ascii="Verdana" w:hAnsi="Verdana"/>
          <w:sz w:val="20"/>
          <w:szCs w:val="20"/>
        </w:rPr>
      </w:pPr>
      <w:r w:rsidRPr="0001220B">
        <w:rPr>
          <w:rFonts w:ascii="Verdana" w:hAnsi="Verdana"/>
          <w:sz w:val="20"/>
          <w:szCs w:val="20"/>
        </w:rPr>
        <w:t>En el caso de garantías constituidas sobre vehículos, su valor debe determinarse atendiendo las siguientes instrucciones:</w:t>
      </w:r>
    </w:p>
    <w:p w14:paraId="3C6CEFC3" w14:textId="77777777" w:rsidR="0001220B" w:rsidRPr="0001220B" w:rsidRDefault="0001220B" w:rsidP="00766CA6">
      <w:pPr>
        <w:pStyle w:val="Prrafodelista"/>
        <w:jc w:val="both"/>
        <w:rPr>
          <w:rFonts w:ascii="Verdana" w:hAnsi="Verdana"/>
          <w:sz w:val="20"/>
          <w:szCs w:val="20"/>
        </w:rPr>
      </w:pPr>
    </w:p>
    <w:p w14:paraId="5878C8D1" w14:textId="77777777" w:rsidR="0001220B" w:rsidRDefault="0001220B" w:rsidP="00766CA6">
      <w:pPr>
        <w:pStyle w:val="Prrafodelista"/>
        <w:numPr>
          <w:ilvl w:val="0"/>
          <w:numId w:val="15"/>
        </w:numPr>
        <w:ind w:left="1134" w:hanging="567"/>
        <w:jc w:val="both"/>
        <w:rPr>
          <w:rFonts w:ascii="Verdana" w:hAnsi="Verdana"/>
          <w:sz w:val="20"/>
          <w:szCs w:val="20"/>
        </w:rPr>
      </w:pPr>
      <w:r w:rsidRPr="0001220B">
        <w:rPr>
          <w:rFonts w:ascii="Verdana" w:hAnsi="Verdana"/>
          <w:sz w:val="20"/>
          <w:szCs w:val="20"/>
        </w:rPr>
        <w:t>Vehículos clasificados en la Guía de Valores de Fasecolda: tanto en el momento del otorgamiento como en las actualizaciones mensuales posteriores, el valor del vehículo respectivo corresponde al valor publicado en dicha guía.</w:t>
      </w:r>
    </w:p>
    <w:p w14:paraId="647947D6" w14:textId="77777777" w:rsidR="0001220B" w:rsidRDefault="0001220B" w:rsidP="00766CA6">
      <w:pPr>
        <w:pStyle w:val="Prrafodelista"/>
        <w:ind w:left="1134"/>
        <w:jc w:val="both"/>
        <w:rPr>
          <w:rFonts w:ascii="Verdana" w:hAnsi="Verdana"/>
          <w:sz w:val="20"/>
          <w:szCs w:val="20"/>
        </w:rPr>
      </w:pPr>
    </w:p>
    <w:p w14:paraId="30AC2F4D" w14:textId="2CBCDD0F" w:rsidR="0001220B" w:rsidRPr="0001220B" w:rsidRDefault="0001220B" w:rsidP="00766CA6">
      <w:pPr>
        <w:pStyle w:val="Prrafodelista"/>
        <w:numPr>
          <w:ilvl w:val="0"/>
          <w:numId w:val="15"/>
        </w:numPr>
        <w:ind w:left="1134" w:hanging="567"/>
        <w:jc w:val="both"/>
        <w:rPr>
          <w:rFonts w:ascii="Verdana" w:hAnsi="Verdana"/>
          <w:sz w:val="20"/>
          <w:szCs w:val="20"/>
        </w:rPr>
      </w:pPr>
      <w:r w:rsidRPr="0001220B">
        <w:rPr>
          <w:rFonts w:ascii="Verdana" w:hAnsi="Verdana"/>
          <w:sz w:val="20"/>
          <w:szCs w:val="20"/>
        </w:rPr>
        <w:t>Vehículos no clasificados en la Guía de Valores de Fasecolda: para determinar el valor de estos bienes, la entidad puede utilizar la información de avalúos comerciales publicada por el Ministerio de Transporte. Tratándose de vehículos que no estén incluidos en dicha publicación: el valor inicial de la garantía puede ser el registrado en la factura de venta correspondiente. Este valor es válido por 3 meses, debiéndose actualizar conforme al valor de la información de avalúos comerciales publicada por el Ministerio de Transporte o la actualización posterior de la Guía de Valores de Fasecolda.</w:t>
      </w:r>
    </w:p>
    <w:p w14:paraId="74F4C564" w14:textId="77777777" w:rsidR="0001220B" w:rsidRPr="0001220B" w:rsidRDefault="0001220B" w:rsidP="00766CA6">
      <w:pPr>
        <w:pStyle w:val="Prrafodelista"/>
        <w:jc w:val="both"/>
        <w:rPr>
          <w:rFonts w:ascii="Verdana" w:hAnsi="Verdana"/>
          <w:sz w:val="20"/>
          <w:szCs w:val="20"/>
        </w:rPr>
      </w:pPr>
    </w:p>
    <w:p w14:paraId="1687DE1D" w14:textId="6B5D91B9" w:rsidR="00EE134B" w:rsidRDefault="00EE134B" w:rsidP="00766CA6">
      <w:pPr>
        <w:pStyle w:val="Prrafodelista"/>
        <w:numPr>
          <w:ilvl w:val="0"/>
          <w:numId w:val="11"/>
        </w:numPr>
        <w:ind w:left="567" w:hanging="567"/>
        <w:jc w:val="both"/>
        <w:rPr>
          <w:rFonts w:ascii="Verdana" w:hAnsi="Verdana"/>
          <w:sz w:val="20"/>
          <w:szCs w:val="20"/>
        </w:rPr>
      </w:pPr>
      <w:r w:rsidRPr="00EE134B">
        <w:rPr>
          <w:rFonts w:ascii="Verdana" w:hAnsi="Verdana"/>
          <w:sz w:val="20"/>
          <w:szCs w:val="20"/>
        </w:rPr>
        <w:t xml:space="preserve">En el caso de garantías constituidas sobre títulos y/o valores, el valor debe determinarse de conformidad con lo dispuesto en </w:t>
      </w:r>
      <w:r w:rsidR="009F14D7">
        <w:rPr>
          <w:rFonts w:ascii="Verdana" w:hAnsi="Verdana"/>
          <w:sz w:val="20"/>
          <w:szCs w:val="20"/>
        </w:rPr>
        <w:t>la sección 1 d</w:t>
      </w:r>
      <w:r w:rsidRPr="00EE134B">
        <w:rPr>
          <w:rFonts w:ascii="Verdana" w:hAnsi="Verdana"/>
          <w:sz w:val="20"/>
          <w:szCs w:val="20"/>
        </w:rPr>
        <w:t xml:space="preserve">el </w:t>
      </w:r>
      <w:r w:rsidR="00693332">
        <w:rPr>
          <w:rFonts w:ascii="Verdana" w:hAnsi="Verdana"/>
          <w:sz w:val="20"/>
          <w:szCs w:val="20"/>
        </w:rPr>
        <w:t>c</w:t>
      </w:r>
      <w:r w:rsidRPr="00EE134B">
        <w:rPr>
          <w:rFonts w:ascii="Verdana" w:hAnsi="Verdana"/>
          <w:sz w:val="20"/>
          <w:szCs w:val="20"/>
        </w:rPr>
        <w:t xml:space="preserve">apítulo </w:t>
      </w:r>
      <w:r w:rsidR="00FF4B5E">
        <w:rPr>
          <w:rFonts w:ascii="Verdana" w:hAnsi="Verdana"/>
          <w:sz w:val="20"/>
          <w:szCs w:val="20"/>
        </w:rPr>
        <w:t>4</w:t>
      </w:r>
      <w:r w:rsidR="009F14D7">
        <w:rPr>
          <w:rFonts w:ascii="Verdana" w:hAnsi="Verdana"/>
          <w:sz w:val="20"/>
          <w:szCs w:val="20"/>
        </w:rPr>
        <w:t xml:space="preserve"> de la parte </w:t>
      </w:r>
      <w:r w:rsidR="008B08BA">
        <w:rPr>
          <w:rFonts w:ascii="Verdana" w:hAnsi="Verdana"/>
          <w:sz w:val="20"/>
          <w:szCs w:val="20"/>
        </w:rPr>
        <w:t xml:space="preserve">3 </w:t>
      </w:r>
      <w:r w:rsidRPr="00EE134B">
        <w:rPr>
          <w:rFonts w:ascii="Verdana" w:hAnsi="Verdana"/>
          <w:sz w:val="20"/>
          <w:szCs w:val="20"/>
        </w:rPr>
        <w:t>de la CB</w:t>
      </w:r>
      <w:r w:rsidR="00492954">
        <w:rPr>
          <w:rFonts w:ascii="Verdana" w:hAnsi="Verdana"/>
          <w:sz w:val="20"/>
          <w:szCs w:val="20"/>
        </w:rPr>
        <w:t>F</w:t>
      </w:r>
      <w:r w:rsidRPr="00EE134B">
        <w:rPr>
          <w:rFonts w:ascii="Verdana" w:hAnsi="Verdana"/>
          <w:sz w:val="20"/>
          <w:szCs w:val="20"/>
        </w:rPr>
        <w:t>, o utilizando el valor suministrado por un proveedor de precios autorizado por la SFC.</w:t>
      </w:r>
    </w:p>
    <w:p w14:paraId="1DF53C96" w14:textId="77777777" w:rsidR="00EE134B" w:rsidRDefault="00EE134B" w:rsidP="00766CA6">
      <w:pPr>
        <w:pStyle w:val="Prrafodelista"/>
        <w:ind w:left="567"/>
        <w:jc w:val="both"/>
        <w:rPr>
          <w:rFonts w:ascii="Verdana" w:hAnsi="Verdana"/>
          <w:sz w:val="20"/>
          <w:szCs w:val="20"/>
        </w:rPr>
      </w:pPr>
    </w:p>
    <w:p w14:paraId="3CFFA6BE" w14:textId="1C5EE9E5" w:rsidR="00EE134B" w:rsidRDefault="00EE134B" w:rsidP="00766CA6">
      <w:pPr>
        <w:pStyle w:val="Prrafodelista"/>
        <w:numPr>
          <w:ilvl w:val="0"/>
          <w:numId w:val="11"/>
        </w:numPr>
        <w:ind w:left="567" w:hanging="567"/>
        <w:jc w:val="both"/>
        <w:rPr>
          <w:rFonts w:ascii="Verdana" w:hAnsi="Verdana"/>
          <w:sz w:val="20"/>
          <w:szCs w:val="20"/>
        </w:rPr>
      </w:pPr>
      <w:r w:rsidRPr="00EE134B">
        <w:rPr>
          <w:rFonts w:ascii="Verdana" w:hAnsi="Verdana"/>
          <w:sz w:val="20"/>
          <w:szCs w:val="20"/>
        </w:rPr>
        <w:t xml:space="preserve">En el caso de garantías constituidas sobre derechos de cobro derivados de contratos, el valor de la garantía corresponde al </w:t>
      </w:r>
      <w:r w:rsidR="000A5090">
        <w:rPr>
          <w:rFonts w:ascii="Verdana" w:hAnsi="Verdana"/>
          <w:sz w:val="20"/>
          <w:szCs w:val="20"/>
        </w:rPr>
        <w:t xml:space="preserve">valor </w:t>
      </w:r>
      <w:r w:rsidRPr="00EE134B">
        <w:rPr>
          <w:rFonts w:ascii="Verdana" w:hAnsi="Verdana"/>
          <w:sz w:val="20"/>
          <w:szCs w:val="20"/>
        </w:rPr>
        <w:t xml:space="preserve">reconocido y revelado en los estados financieros del deudor al momento del otorgamiento, o al valor reconocido en la información financiera y demás mecanismos de revelación </w:t>
      </w:r>
      <w:r w:rsidR="009614FD">
        <w:rPr>
          <w:rFonts w:ascii="Verdana" w:hAnsi="Verdana"/>
          <w:sz w:val="20"/>
          <w:szCs w:val="20"/>
        </w:rPr>
        <w:t xml:space="preserve">de información financiera </w:t>
      </w:r>
      <w:r w:rsidRPr="00EE134B">
        <w:rPr>
          <w:rFonts w:ascii="Verdana" w:hAnsi="Verdana"/>
          <w:sz w:val="20"/>
          <w:szCs w:val="20"/>
        </w:rPr>
        <w:t xml:space="preserve">del vehículo de garantía a través del cual se administran los derechos de cobro, y reportado por el respectivo administrador del vehículo. Este valor es válido por 1 año, al cabo de este periodo el valor se debe actualizar anualmente conforme al valor </w:t>
      </w:r>
      <w:r w:rsidR="005C79E2">
        <w:rPr>
          <w:rFonts w:ascii="Verdana" w:hAnsi="Verdana"/>
          <w:sz w:val="20"/>
          <w:szCs w:val="20"/>
        </w:rPr>
        <w:t xml:space="preserve">del derecho de cobro </w:t>
      </w:r>
      <w:r w:rsidRPr="00EE134B">
        <w:rPr>
          <w:rFonts w:ascii="Verdana" w:hAnsi="Verdana"/>
          <w:sz w:val="20"/>
          <w:szCs w:val="20"/>
        </w:rPr>
        <w:t>reconocido y revelado en los estados financieros al momento de la actualización.</w:t>
      </w:r>
    </w:p>
    <w:p w14:paraId="36AC9147" w14:textId="77777777" w:rsidR="00EE134B" w:rsidRPr="00EE134B" w:rsidRDefault="00EE134B" w:rsidP="00766CA6">
      <w:pPr>
        <w:pStyle w:val="Prrafodelista"/>
        <w:jc w:val="both"/>
        <w:rPr>
          <w:rFonts w:ascii="Verdana" w:hAnsi="Verdana"/>
          <w:sz w:val="20"/>
          <w:szCs w:val="20"/>
        </w:rPr>
      </w:pPr>
    </w:p>
    <w:p w14:paraId="23E22848" w14:textId="5F96DA70" w:rsidR="00EE134B" w:rsidRPr="00EE134B" w:rsidRDefault="00EE134B" w:rsidP="00766CA6">
      <w:pPr>
        <w:pStyle w:val="Prrafodelista"/>
        <w:numPr>
          <w:ilvl w:val="0"/>
          <w:numId w:val="11"/>
        </w:numPr>
        <w:ind w:left="567" w:hanging="567"/>
        <w:jc w:val="both"/>
        <w:rPr>
          <w:rFonts w:ascii="Verdana" w:hAnsi="Verdana"/>
          <w:sz w:val="20"/>
          <w:szCs w:val="20"/>
        </w:rPr>
      </w:pPr>
      <w:r w:rsidRPr="00EE134B">
        <w:rPr>
          <w:rFonts w:ascii="Verdana" w:hAnsi="Verdana"/>
          <w:sz w:val="20"/>
          <w:szCs w:val="20"/>
        </w:rPr>
        <w:t xml:space="preserve">En el caso de garantías que no se encuentren incluidas en </w:t>
      </w:r>
      <w:r w:rsidR="001656E4">
        <w:rPr>
          <w:rFonts w:ascii="Verdana" w:hAnsi="Verdana"/>
          <w:sz w:val="20"/>
          <w:szCs w:val="20"/>
        </w:rPr>
        <w:t xml:space="preserve">las instrucciones de </w:t>
      </w:r>
      <w:r w:rsidRPr="00EE134B">
        <w:rPr>
          <w:rFonts w:ascii="Verdana" w:hAnsi="Verdana"/>
          <w:sz w:val="20"/>
          <w:szCs w:val="20"/>
        </w:rPr>
        <w:t xml:space="preserve">los </w:t>
      </w:r>
      <w:r w:rsidR="001656E4">
        <w:rPr>
          <w:rFonts w:ascii="Verdana" w:hAnsi="Verdana"/>
          <w:sz w:val="20"/>
          <w:szCs w:val="20"/>
        </w:rPr>
        <w:t xml:space="preserve">párrafos </w:t>
      </w:r>
      <w:r w:rsidRPr="00EE134B">
        <w:rPr>
          <w:rFonts w:ascii="Verdana" w:hAnsi="Verdana"/>
          <w:sz w:val="20"/>
          <w:szCs w:val="20"/>
        </w:rPr>
        <w:t xml:space="preserve">anteriores, la entidad debe utilizar como valor de la garantía al momento del otorgamiento, el obtenido </w:t>
      </w:r>
      <w:r w:rsidR="0095539D">
        <w:rPr>
          <w:rFonts w:ascii="Verdana" w:hAnsi="Verdana"/>
          <w:sz w:val="20"/>
          <w:szCs w:val="20"/>
        </w:rPr>
        <w:t xml:space="preserve">mediante </w:t>
      </w:r>
      <w:r w:rsidRPr="00EE134B">
        <w:rPr>
          <w:rFonts w:ascii="Verdana" w:hAnsi="Verdana"/>
          <w:sz w:val="20"/>
          <w:szCs w:val="20"/>
        </w:rPr>
        <w:t>un avalúo técnico. Este valor es válido por 1 año, al cabo de este periodo se debe actualizar anualmente con criterios técnicos dependiendo de las características propias de cada bien, conforme a la metodología que la entidad establezca para el efecto. La metodología usada para la valoración debe estar a disposición de la SFC.</w:t>
      </w:r>
    </w:p>
    <w:p w14:paraId="0A76F0F2" w14:textId="77777777" w:rsidR="009A5A53" w:rsidRPr="00EE5A39" w:rsidDel="009A5A53" w:rsidRDefault="009A5A53" w:rsidP="00766CA6">
      <w:pPr>
        <w:spacing w:after="0"/>
        <w:jc w:val="both"/>
        <w:rPr>
          <w:rFonts w:ascii="Verdana" w:hAnsi="Verdana"/>
          <w:sz w:val="20"/>
          <w:szCs w:val="20"/>
        </w:rPr>
      </w:pPr>
    </w:p>
    <w:p w14:paraId="61F3DC95" w14:textId="77777777" w:rsidR="00C61B65" w:rsidRDefault="00C61B65" w:rsidP="00766CA6">
      <w:pPr>
        <w:spacing w:after="0"/>
        <w:jc w:val="both"/>
        <w:rPr>
          <w:rFonts w:ascii="Verdana" w:hAnsi="Verdana"/>
          <w:sz w:val="20"/>
          <w:szCs w:val="20"/>
        </w:rPr>
      </w:pPr>
    </w:p>
    <w:p w14:paraId="78DDDB8C" w14:textId="2DB3B357" w:rsidR="001C0952" w:rsidRDefault="001C0952"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39</w:t>
      </w:r>
      <w:r w:rsidRPr="0086035E">
        <w:rPr>
          <w:rFonts w:ascii="Verdana" w:hAnsi="Verdana"/>
          <w:sz w:val="20"/>
          <w:szCs w:val="20"/>
        </w:rPr>
        <w:t>.</w:t>
      </w:r>
    </w:p>
    <w:p w14:paraId="54B8C20F" w14:textId="31C1AF12" w:rsidR="00BA7593" w:rsidRDefault="00BA7593" w:rsidP="00766CA6">
      <w:pPr>
        <w:jc w:val="both"/>
        <w:rPr>
          <w:rFonts w:ascii="Verdana" w:hAnsi="Verdana"/>
          <w:sz w:val="20"/>
          <w:szCs w:val="20"/>
        </w:rPr>
      </w:pPr>
      <w:r w:rsidRPr="00BA7593">
        <w:rPr>
          <w:rFonts w:ascii="Verdana" w:hAnsi="Verdana"/>
          <w:sz w:val="20"/>
          <w:szCs w:val="20"/>
        </w:rPr>
        <w:t>Para el caso de los bienes que hayan sido otorgados en garantía que, de conformidad con lo indicado en los anteriores literales, requieran un nuevo avalúo técnico para actualizar su valor, los EC tienen la facultad de no realizar dicho avalúo, siempre que se cumpla alguno de los siguientes supuestos:</w:t>
      </w:r>
    </w:p>
    <w:p w14:paraId="45F18165" w14:textId="57081A82" w:rsidR="002A3EEA" w:rsidRDefault="00D24146" w:rsidP="00766CA6">
      <w:pPr>
        <w:pStyle w:val="Prrafodelista"/>
        <w:numPr>
          <w:ilvl w:val="0"/>
          <w:numId w:val="16"/>
        </w:numPr>
        <w:ind w:left="567" w:hanging="567"/>
        <w:jc w:val="both"/>
        <w:rPr>
          <w:rFonts w:ascii="Verdana" w:hAnsi="Verdana"/>
          <w:sz w:val="20"/>
          <w:szCs w:val="20"/>
        </w:rPr>
      </w:pPr>
      <w:r w:rsidRPr="00D24146">
        <w:rPr>
          <w:rFonts w:ascii="Verdana" w:hAnsi="Verdana"/>
          <w:sz w:val="20"/>
          <w:szCs w:val="20"/>
        </w:rPr>
        <w:t xml:space="preserve">El plazo de los créditos respaldados con la respectiva garantía no supera los 3 años y el valor de la </w:t>
      </w:r>
      <w:r w:rsidR="004E3D84">
        <w:rPr>
          <w:rFonts w:ascii="Verdana" w:hAnsi="Verdana"/>
          <w:sz w:val="20"/>
          <w:szCs w:val="20"/>
        </w:rPr>
        <w:t xml:space="preserve">garantía </w:t>
      </w:r>
      <w:r w:rsidRPr="00D24146">
        <w:rPr>
          <w:rFonts w:ascii="Verdana" w:hAnsi="Verdana"/>
          <w:sz w:val="20"/>
          <w:szCs w:val="20"/>
        </w:rPr>
        <w:t>supera al menos en 2 veces el total del saldo pendiente de pago de los créditos garantizados.</w:t>
      </w:r>
    </w:p>
    <w:p w14:paraId="142CC9F3" w14:textId="77777777" w:rsidR="002A3EEA" w:rsidRDefault="002A3EEA" w:rsidP="00766CA6">
      <w:pPr>
        <w:pStyle w:val="Prrafodelista"/>
        <w:ind w:left="567"/>
        <w:jc w:val="both"/>
        <w:rPr>
          <w:rFonts w:ascii="Verdana" w:hAnsi="Verdana"/>
          <w:sz w:val="20"/>
          <w:szCs w:val="20"/>
        </w:rPr>
      </w:pPr>
    </w:p>
    <w:p w14:paraId="40800965" w14:textId="77777777" w:rsidR="002A3EEA" w:rsidRDefault="00D24146" w:rsidP="00766CA6">
      <w:pPr>
        <w:pStyle w:val="Prrafodelista"/>
        <w:numPr>
          <w:ilvl w:val="0"/>
          <w:numId w:val="16"/>
        </w:numPr>
        <w:ind w:left="567" w:hanging="567"/>
        <w:jc w:val="both"/>
        <w:rPr>
          <w:rFonts w:ascii="Verdana" w:hAnsi="Verdana"/>
          <w:sz w:val="20"/>
          <w:szCs w:val="20"/>
        </w:rPr>
      </w:pPr>
      <w:r w:rsidRPr="002A3EEA">
        <w:rPr>
          <w:rFonts w:ascii="Verdana" w:hAnsi="Verdana"/>
          <w:sz w:val="20"/>
          <w:szCs w:val="20"/>
        </w:rPr>
        <w:t>El plazo para finalizar el pago de los créditos garantizados es inferior o igual a 1 año.</w:t>
      </w:r>
    </w:p>
    <w:p w14:paraId="0AF541E9" w14:textId="77777777" w:rsidR="002A3EEA" w:rsidRPr="002A3EEA" w:rsidRDefault="002A3EEA" w:rsidP="00766CA6">
      <w:pPr>
        <w:pStyle w:val="Prrafodelista"/>
        <w:jc w:val="both"/>
        <w:rPr>
          <w:rFonts w:ascii="Verdana" w:hAnsi="Verdana"/>
          <w:sz w:val="20"/>
          <w:szCs w:val="20"/>
        </w:rPr>
      </w:pPr>
    </w:p>
    <w:p w14:paraId="41C99C24" w14:textId="77777777" w:rsidR="002A3EEA" w:rsidRDefault="00D24146" w:rsidP="00766CA6">
      <w:pPr>
        <w:pStyle w:val="Prrafodelista"/>
        <w:numPr>
          <w:ilvl w:val="0"/>
          <w:numId w:val="16"/>
        </w:numPr>
        <w:ind w:left="567" w:hanging="567"/>
        <w:jc w:val="both"/>
        <w:rPr>
          <w:rFonts w:ascii="Verdana" w:hAnsi="Verdana"/>
          <w:sz w:val="20"/>
          <w:szCs w:val="20"/>
        </w:rPr>
      </w:pPr>
      <w:r w:rsidRPr="002A3EEA">
        <w:rPr>
          <w:rFonts w:ascii="Verdana" w:hAnsi="Verdana"/>
          <w:sz w:val="20"/>
          <w:szCs w:val="20"/>
        </w:rPr>
        <w:t>El costo del avalúo supera el 10% del valor del saldo de los créditos garantizados.</w:t>
      </w:r>
    </w:p>
    <w:p w14:paraId="6E77E824" w14:textId="77777777" w:rsidR="002A3EEA" w:rsidRPr="002A3EEA" w:rsidRDefault="002A3EEA" w:rsidP="00766CA6">
      <w:pPr>
        <w:pStyle w:val="Prrafodelista"/>
        <w:jc w:val="both"/>
        <w:rPr>
          <w:rFonts w:ascii="Verdana" w:hAnsi="Verdana"/>
          <w:sz w:val="20"/>
          <w:szCs w:val="20"/>
        </w:rPr>
      </w:pPr>
    </w:p>
    <w:p w14:paraId="5618E0A0" w14:textId="26DB2FE8" w:rsidR="00BA7593" w:rsidRDefault="00D24146" w:rsidP="00766CA6">
      <w:pPr>
        <w:pStyle w:val="Prrafodelista"/>
        <w:numPr>
          <w:ilvl w:val="0"/>
          <w:numId w:val="16"/>
        </w:numPr>
        <w:ind w:left="567" w:hanging="567"/>
        <w:jc w:val="both"/>
        <w:rPr>
          <w:rFonts w:ascii="Verdana" w:hAnsi="Verdana"/>
          <w:sz w:val="20"/>
          <w:szCs w:val="20"/>
        </w:rPr>
      </w:pPr>
      <w:r w:rsidRPr="002A3EEA">
        <w:rPr>
          <w:rFonts w:ascii="Verdana" w:hAnsi="Verdana"/>
          <w:sz w:val="20"/>
          <w:szCs w:val="20"/>
        </w:rPr>
        <w:t>El crédito garantizado se encuentra provisionado en un 100%.</w:t>
      </w:r>
    </w:p>
    <w:p w14:paraId="79340009" w14:textId="77777777" w:rsidR="00431817" w:rsidRDefault="00431817" w:rsidP="00766CA6">
      <w:pPr>
        <w:spacing w:after="0"/>
        <w:jc w:val="both"/>
        <w:rPr>
          <w:rFonts w:ascii="Verdana" w:hAnsi="Verdana"/>
          <w:sz w:val="20"/>
          <w:szCs w:val="20"/>
        </w:rPr>
      </w:pPr>
    </w:p>
    <w:p w14:paraId="517BBE1A" w14:textId="4854D31E" w:rsidR="00C6441B" w:rsidRDefault="00C6441B"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40</w:t>
      </w:r>
      <w:r w:rsidRPr="0086035E">
        <w:rPr>
          <w:rFonts w:ascii="Verdana" w:hAnsi="Verdana"/>
          <w:sz w:val="20"/>
          <w:szCs w:val="20"/>
        </w:rPr>
        <w:t>.</w:t>
      </w:r>
    </w:p>
    <w:p w14:paraId="185F7C8A" w14:textId="25B6FA9A" w:rsidR="00C6441B" w:rsidRPr="00C6441B" w:rsidRDefault="00C6441B" w:rsidP="00766CA6">
      <w:pPr>
        <w:jc w:val="both"/>
        <w:rPr>
          <w:rFonts w:ascii="Verdana" w:hAnsi="Verdana"/>
          <w:sz w:val="20"/>
          <w:szCs w:val="20"/>
        </w:rPr>
      </w:pPr>
      <w:r w:rsidRPr="00C6441B">
        <w:rPr>
          <w:rFonts w:ascii="Verdana" w:hAnsi="Verdana"/>
          <w:sz w:val="20"/>
          <w:szCs w:val="20"/>
        </w:rPr>
        <w:t>Siempre que la entidad haga uso de esta facultad, debe justificar en cada caso las razones de su decisión, teniendo en cuenta para ello, entre otros, los criterios de evaluación del riesgo. Dicha justificación debe mantenerse a disposición de la SFC.</w:t>
      </w:r>
    </w:p>
    <w:p w14:paraId="15B54B35" w14:textId="6E7684A3" w:rsidR="00C6441B" w:rsidRDefault="00C6441B"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4</w:t>
      </w:r>
      <w:r w:rsidR="00DB5E7D">
        <w:rPr>
          <w:rFonts w:ascii="Verdana" w:hAnsi="Verdana"/>
          <w:sz w:val="20"/>
          <w:szCs w:val="20"/>
        </w:rPr>
        <w:t>1</w:t>
      </w:r>
      <w:r w:rsidRPr="0086035E">
        <w:rPr>
          <w:rFonts w:ascii="Verdana" w:hAnsi="Verdana"/>
          <w:sz w:val="20"/>
          <w:szCs w:val="20"/>
        </w:rPr>
        <w:t>.</w:t>
      </w:r>
    </w:p>
    <w:p w14:paraId="542528DD" w14:textId="346CC1AE" w:rsidR="00BA7593" w:rsidRDefault="00C6441B" w:rsidP="00766CA6">
      <w:pPr>
        <w:jc w:val="both"/>
        <w:rPr>
          <w:rFonts w:ascii="Verdana" w:hAnsi="Verdana"/>
          <w:sz w:val="20"/>
          <w:szCs w:val="20"/>
        </w:rPr>
      </w:pPr>
      <w:r w:rsidRPr="00C6441B">
        <w:rPr>
          <w:rFonts w:ascii="Verdana" w:hAnsi="Verdana"/>
          <w:sz w:val="20"/>
          <w:szCs w:val="20"/>
        </w:rPr>
        <w:t>En todo caso, la entidad debe evaluar la idoneidad de las garantías y actualizar de forma inmediata su valor, cuando las obligaciones cuyo cumplimiento respaldan, hayan obtenido una calificación de riesgo “D”, salvo en los casos en los que la actualización del valor de la garantía se haya realizado dentro del año inmediatamente anterior al momento en que la obligación obtuvo dicha calificación.</w:t>
      </w:r>
    </w:p>
    <w:p w14:paraId="427A1585" w14:textId="379F6EA8" w:rsidR="001F0121" w:rsidRDefault="001F0121"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4</w:t>
      </w:r>
      <w:r w:rsidR="00DB5E7D">
        <w:rPr>
          <w:rFonts w:ascii="Verdana" w:hAnsi="Verdana"/>
          <w:sz w:val="20"/>
          <w:szCs w:val="20"/>
        </w:rPr>
        <w:t>2</w:t>
      </w:r>
      <w:r w:rsidRPr="0086035E">
        <w:rPr>
          <w:rFonts w:ascii="Verdana" w:hAnsi="Verdana"/>
          <w:sz w:val="20"/>
          <w:szCs w:val="20"/>
        </w:rPr>
        <w:t>.</w:t>
      </w:r>
    </w:p>
    <w:p w14:paraId="57310C55" w14:textId="6C04523A" w:rsidR="00BA7593" w:rsidRDefault="001F0121" w:rsidP="00766CA6">
      <w:pPr>
        <w:jc w:val="both"/>
        <w:rPr>
          <w:rFonts w:ascii="Verdana" w:hAnsi="Verdana"/>
          <w:sz w:val="20"/>
          <w:szCs w:val="20"/>
        </w:rPr>
      </w:pPr>
      <w:r w:rsidRPr="001F0121">
        <w:rPr>
          <w:rFonts w:ascii="Verdana" w:hAnsi="Verdana"/>
          <w:sz w:val="20"/>
          <w:szCs w:val="20"/>
        </w:rPr>
        <w:t xml:space="preserve">Para efectos de lo dispuesto en </w:t>
      </w:r>
      <w:r w:rsidR="0046406F">
        <w:rPr>
          <w:rFonts w:ascii="Verdana" w:hAnsi="Verdana"/>
          <w:sz w:val="20"/>
          <w:szCs w:val="20"/>
        </w:rPr>
        <w:t>la presente sección</w:t>
      </w:r>
      <w:r w:rsidRPr="001F0121">
        <w:rPr>
          <w:rFonts w:ascii="Verdana" w:hAnsi="Verdana"/>
          <w:sz w:val="20"/>
          <w:szCs w:val="20"/>
        </w:rPr>
        <w:t xml:space="preserve">, se entiende como avalúo técnico aquél que atienda, como mínimo, los criterios y contenidos establecidos en las normas vigentes que rigen la actividad de los </w:t>
      </w:r>
      <w:proofErr w:type="spellStart"/>
      <w:r w:rsidRPr="001F0121">
        <w:rPr>
          <w:rFonts w:ascii="Verdana" w:hAnsi="Verdana"/>
          <w:sz w:val="20"/>
          <w:szCs w:val="20"/>
        </w:rPr>
        <w:t>avaluadores</w:t>
      </w:r>
      <w:proofErr w:type="spellEnd"/>
      <w:r w:rsidRPr="001F0121">
        <w:rPr>
          <w:rFonts w:ascii="Verdana" w:hAnsi="Verdana"/>
          <w:sz w:val="20"/>
          <w:szCs w:val="20"/>
        </w:rPr>
        <w:t>.</w:t>
      </w:r>
    </w:p>
    <w:p w14:paraId="1904A777" w14:textId="371D262E" w:rsidR="00BA7593" w:rsidRPr="00E159F3" w:rsidRDefault="00E159F3"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Control y monitoreo</w:t>
      </w:r>
    </w:p>
    <w:p w14:paraId="158F7053" w14:textId="1981946F" w:rsidR="001C0952" w:rsidRDefault="001C0952"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4</w:t>
      </w:r>
      <w:r w:rsidR="00B2523A">
        <w:rPr>
          <w:rFonts w:ascii="Verdana" w:hAnsi="Verdana"/>
          <w:sz w:val="20"/>
          <w:szCs w:val="20"/>
        </w:rPr>
        <w:t>3</w:t>
      </w:r>
      <w:r w:rsidRPr="0086035E">
        <w:rPr>
          <w:rFonts w:ascii="Verdana" w:hAnsi="Verdana"/>
          <w:sz w:val="20"/>
          <w:szCs w:val="20"/>
        </w:rPr>
        <w:t>.</w:t>
      </w:r>
    </w:p>
    <w:p w14:paraId="3AD4D6A0" w14:textId="470B4B87" w:rsidR="001C0952" w:rsidRDefault="00B2523A" w:rsidP="00766CA6">
      <w:pPr>
        <w:jc w:val="both"/>
        <w:rPr>
          <w:rFonts w:ascii="Verdana" w:hAnsi="Verdana"/>
          <w:sz w:val="20"/>
          <w:szCs w:val="20"/>
        </w:rPr>
      </w:pPr>
      <w:r w:rsidRPr="00B2523A">
        <w:rPr>
          <w:rFonts w:ascii="Verdana" w:hAnsi="Verdana"/>
          <w:sz w:val="20"/>
          <w:szCs w:val="20"/>
        </w:rPr>
        <w:t>La entidad debe tener un sistema de control y monitoreo del riesgo de crédito de los diferentes portafolios</w:t>
      </w:r>
      <w:r w:rsidR="000D46B1">
        <w:rPr>
          <w:rFonts w:ascii="Verdana" w:hAnsi="Verdana"/>
          <w:sz w:val="20"/>
          <w:szCs w:val="20"/>
        </w:rPr>
        <w:t xml:space="preserve"> de crédito</w:t>
      </w:r>
      <w:r w:rsidRPr="00B2523A">
        <w:rPr>
          <w:rFonts w:ascii="Verdana" w:hAnsi="Verdana"/>
          <w:sz w:val="20"/>
          <w:szCs w:val="20"/>
        </w:rPr>
        <w:t>, lo cual supone una continua clasificación y recalificación de las operaciones crediticias acorde con el proceso de otorgamiento y cuando haya nuevos análisis o información que justifique dichos cambios. Las políticas deben precisar la frecuencia del monitoreo y señalar los criterios de calificación</w:t>
      </w:r>
      <w:r w:rsidR="00ED534F">
        <w:rPr>
          <w:rFonts w:ascii="Verdana" w:hAnsi="Verdana"/>
          <w:sz w:val="20"/>
          <w:szCs w:val="20"/>
        </w:rPr>
        <w:t>.</w:t>
      </w:r>
    </w:p>
    <w:p w14:paraId="1D31C74F" w14:textId="3AB33D87" w:rsidR="00B2523A" w:rsidRDefault="00B2523A"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44</w:t>
      </w:r>
      <w:r w:rsidRPr="0086035E">
        <w:rPr>
          <w:rFonts w:ascii="Verdana" w:hAnsi="Verdana"/>
          <w:sz w:val="20"/>
          <w:szCs w:val="20"/>
        </w:rPr>
        <w:t>.</w:t>
      </w:r>
    </w:p>
    <w:p w14:paraId="660E6346" w14:textId="00CBD569" w:rsidR="00F624B0" w:rsidRDefault="00F624B0" w:rsidP="00766CA6">
      <w:pPr>
        <w:jc w:val="both"/>
        <w:rPr>
          <w:rFonts w:ascii="Verdana" w:hAnsi="Verdana"/>
          <w:sz w:val="20"/>
          <w:szCs w:val="20"/>
        </w:rPr>
      </w:pPr>
      <w:r w:rsidRPr="00F624B0">
        <w:rPr>
          <w:rFonts w:ascii="Verdana" w:hAnsi="Verdana"/>
          <w:sz w:val="20"/>
          <w:szCs w:val="20"/>
        </w:rPr>
        <w:t xml:space="preserve">La entidad debe contar con un sistema de control y monitoreo efectivo que le permita medir el riesgo de crédito inherente a una operación crediticia y la modificación de las calificaciones y de las condiciones del servicio dichas operaciones cuando la entidad cuente con información suficiente que justifique dicho cambio, ateniendo las políticas establecidas por cada entidad, así como lo dispuesto en las etapas de gestión del riesgo de crédito descritas en los </w:t>
      </w:r>
      <w:r w:rsidR="006F1AF0">
        <w:rPr>
          <w:rFonts w:ascii="Verdana" w:hAnsi="Verdana"/>
          <w:sz w:val="20"/>
          <w:szCs w:val="20"/>
        </w:rPr>
        <w:t xml:space="preserve">párrafos </w:t>
      </w:r>
      <w:r w:rsidRPr="00F624B0">
        <w:rPr>
          <w:rFonts w:ascii="Verdana" w:hAnsi="Verdana"/>
          <w:sz w:val="20"/>
          <w:szCs w:val="20"/>
        </w:rPr>
        <w:t>anteriores.</w:t>
      </w:r>
    </w:p>
    <w:p w14:paraId="708A9DDE" w14:textId="4E75C72F" w:rsidR="00B2523A" w:rsidRDefault="00B2523A"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45</w:t>
      </w:r>
      <w:r w:rsidRPr="0086035E">
        <w:rPr>
          <w:rFonts w:ascii="Verdana" w:hAnsi="Verdana"/>
          <w:sz w:val="20"/>
          <w:szCs w:val="20"/>
        </w:rPr>
        <w:t>.</w:t>
      </w:r>
    </w:p>
    <w:p w14:paraId="3B8AC501" w14:textId="4113D9FE" w:rsidR="00F624B0" w:rsidRDefault="00F624B0" w:rsidP="00766CA6">
      <w:pPr>
        <w:jc w:val="both"/>
        <w:rPr>
          <w:rFonts w:ascii="Verdana" w:hAnsi="Verdana"/>
          <w:sz w:val="20"/>
          <w:szCs w:val="20"/>
        </w:rPr>
      </w:pPr>
      <w:r w:rsidRPr="00F624B0">
        <w:rPr>
          <w:rFonts w:ascii="Verdana" w:hAnsi="Verdana"/>
          <w:sz w:val="20"/>
          <w:szCs w:val="20"/>
        </w:rPr>
        <w:t>Las metodologías y las prácticas que se utilicen para el cumplimiento de esta obligación deben fundamentarse, entre otros criterios, en: (i) el comportamiento histórico de los portafolios y los créditos, (</w:t>
      </w:r>
      <w:proofErr w:type="spellStart"/>
      <w:r w:rsidRPr="00F624B0">
        <w:rPr>
          <w:rFonts w:ascii="Verdana" w:hAnsi="Verdana"/>
          <w:sz w:val="20"/>
          <w:szCs w:val="20"/>
        </w:rPr>
        <w:t>ii</w:t>
      </w:r>
      <w:proofErr w:type="spellEnd"/>
      <w:r w:rsidRPr="00F624B0">
        <w:rPr>
          <w:rFonts w:ascii="Verdana" w:hAnsi="Verdana"/>
          <w:sz w:val="20"/>
          <w:szCs w:val="20"/>
        </w:rPr>
        <w:t>) las características particulares del deudor, sus créditos y las garantías que los respalden, (</w:t>
      </w:r>
      <w:proofErr w:type="spellStart"/>
      <w:r w:rsidRPr="00F624B0">
        <w:rPr>
          <w:rFonts w:ascii="Verdana" w:hAnsi="Verdana"/>
          <w:sz w:val="20"/>
          <w:szCs w:val="20"/>
        </w:rPr>
        <w:t>iii</w:t>
      </w:r>
      <w:proofErr w:type="spellEnd"/>
      <w:r w:rsidRPr="00F624B0">
        <w:rPr>
          <w:rFonts w:ascii="Verdana" w:hAnsi="Verdana"/>
          <w:sz w:val="20"/>
          <w:szCs w:val="20"/>
        </w:rPr>
        <w:t>) el comportamiento crediticio del deudor en otras entidades, particularmente, si al momento de la evaluación el deudor registra obligaciones reestructuradas o castigadas, de acuerdo con la información proveniente de los operadores de información o de cualquier otra fuente, así como la información financiera de éste o información alternativa que permita conocer adecuadamente su situación financiera y (</w:t>
      </w:r>
      <w:proofErr w:type="spellStart"/>
      <w:r w:rsidRPr="00F624B0">
        <w:rPr>
          <w:rFonts w:ascii="Verdana" w:hAnsi="Verdana"/>
          <w:sz w:val="20"/>
          <w:szCs w:val="20"/>
        </w:rPr>
        <w:t>iv</w:t>
      </w:r>
      <w:proofErr w:type="spellEnd"/>
      <w:r w:rsidRPr="00F624B0">
        <w:rPr>
          <w:rFonts w:ascii="Verdana" w:hAnsi="Verdana"/>
          <w:sz w:val="20"/>
          <w:szCs w:val="20"/>
        </w:rPr>
        <w:t>) las variables sectoriales y macroeconómicas que afecten el normal desarrollo de los mismos</w:t>
      </w:r>
      <w:r>
        <w:rPr>
          <w:rFonts w:ascii="Verdana" w:hAnsi="Verdana"/>
          <w:sz w:val="20"/>
          <w:szCs w:val="20"/>
        </w:rPr>
        <w:t>.</w:t>
      </w:r>
    </w:p>
    <w:p w14:paraId="2FE3B889" w14:textId="77777777" w:rsidR="002F3106" w:rsidRDefault="002F3106" w:rsidP="00766CA6">
      <w:pPr>
        <w:spacing w:after="0"/>
        <w:jc w:val="both"/>
        <w:rPr>
          <w:rFonts w:ascii="Verdana" w:hAnsi="Verdana"/>
          <w:sz w:val="20"/>
          <w:szCs w:val="20"/>
        </w:rPr>
      </w:pPr>
    </w:p>
    <w:p w14:paraId="69BB7972" w14:textId="77777777" w:rsidR="002F3106" w:rsidRDefault="002F3106" w:rsidP="00766CA6">
      <w:pPr>
        <w:spacing w:after="0"/>
        <w:jc w:val="both"/>
        <w:rPr>
          <w:rFonts w:ascii="Verdana" w:hAnsi="Verdana"/>
          <w:sz w:val="20"/>
          <w:szCs w:val="20"/>
        </w:rPr>
      </w:pPr>
    </w:p>
    <w:p w14:paraId="3476259E" w14:textId="4E2B2F1E" w:rsidR="00B2523A" w:rsidRDefault="00B2523A" w:rsidP="00766CA6">
      <w:pPr>
        <w:spacing w:after="0"/>
        <w:jc w:val="both"/>
        <w:rPr>
          <w:rFonts w:ascii="Verdana" w:hAnsi="Verdana"/>
          <w:sz w:val="20"/>
          <w:szCs w:val="20"/>
        </w:rPr>
      </w:pPr>
      <w:r w:rsidRPr="0086035E">
        <w:rPr>
          <w:rFonts w:ascii="Verdana" w:hAnsi="Verdana"/>
          <w:sz w:val="20"/>
          <w:szCs w:val="20"/>
        </w:rPr>
        <w:lastRenderedPageBreak/>
        <w:t>1.1.</w:t>
      </w:r>
      <w:r>
        <w:rPr>
          <w:rFonts w:ascii="Verdana" w:hAnsi="Verdana"/>
          <w:sz w:val="20"/>
          <w:szCs w:val="20"/>
        </w:rPr>
        <w:t>2</w:t>
      </w:r>
      <w:r w:rsidRPr="0086035E">
        <w:rPr>
          <w:rFonts w:ascii="Verdana" w:hAnsi="Verdana"/>
          <w:sz w:val="20"/>
          <w:szCs w:val="20"/>
        </w:rPr>
        <w:t>.</w:t>
      </w:r>
      <w:r>
        <w:rPr>
          <w:rFonts w:ascii="Verdana" w:hAnsi="Verdana"/>
          <w:sz w:val="20"/>
          <w:szCs w:val="20"/>
        </w:rPr>
        <w:t>46</w:t>
      </w:r>
      <w:r w:rsidRPr="0086035E">
        <w:rPr>
          <w:rFonts w:ascii="Verdana" w:hAnsi="Verdana"/>
          <w:sz w:val="20"/>
          <w:szCs w:val="20"/>
        </w:rPr>
        <w:t>.</w:t>
      </w:r>
    </w:p>
    <w:p w14:paraId="641DAAA6" w14:textId="24EC23F1" w:rsidR="00B2523A" w:rsidRDefault="00420487" w:rsidP="00766CA6">
      <w:pPr>
        <w:jc w:val="both"/>
        <w:rPr>
          <w:rFonts w:ascii="Verdana" w:hAnsi="Verdana"/>
          <w:sz w:val="20"/>
          <w:szCs w:val="20"/>
        </w:rPr>
      </w:pPr>
      <w:r w:rsidRPr="00420487">
        <w:rPr>
          <w:rFonts w:ascii="Verdana" w:hAnsi="Verdana"/>
          <w:sz w:val="20"/>
          <w:szCs w:val="20"/>
        </w:rPr>
        <w:t>Sin perjuicio de lo anterior, la entidad debe realizar la evaluación o recalificación de la cartera de crédito en los siguientes casos:</w:t>
      </w:r>
    </w:p>
    <w:p w14:paraId="4DB3E254" w14:textId="2E83B441" w:rsidR="008922E4" w:rsidRDefault="008922E4" w:rsidP="00766CA6">
      <w:pPr>
        <w:pStyle w:val="Prrafodelista"/>
        <w:numPr>
          <w:ilvl w:val="0"/>
          <w:numId w:val="17"/>
        </w:numPr>
        <w:spacing w:after="0"/>
        <w:ind w:left="567" w:hanging="567"/>
        <w:jc w:val="both"/>
        <w:rPr>
          <w:rFonts w:ascii="Verdana" w:hAnsi="Verdana"/>
          <w:sz w:val="20"/>
          <w:szCs w:val="20"/>
        </w:rPr>
      </w:pPr>
      <w:r w:rsidRPr="008922E4">
        <w:rPr>
          <w:rFonts w:ascii="Verdana" w:hAnsi="Verdana"/>
          <w:sz w:val="20"/>
          <w:szCs w:val="20"/>
        </w:rPr>
        <w:t xml:space="preserve">Cuando los créditos incurran en mora después de haber sido modificados en los términos señalados en </w:t>
      </w:r>
      <w:r w:rsidR="00AC7D5B">
        <w:rPr>
          <w:rFonts w:ascii="Verdana" w:hAnsi="Verdana"/>
          <w:sz w:val="20"/>
          <w:szCs w:val="20"/>
        </w:rPr>
        <w:t>los párrafos 1</w:t>
      </w:r>
      <w:r w:rsidR="007A4A5E">
        <w:rPr>
          <w:rFonts w:ascii="Verdana" w:hAnsi="Verdana"/>
          <w:sz w:val="20"/>
          <w:szCs w:val="20"/>
        </w:rPr>
        <w:t>.1.2.50. y 1.1.2.51.</w:t>
      </w:r>
      <w:r w:rsidR="00A33439">
        <w:rPr>
          <w:rFonts w:ascii="Verdana" w:hAnsi="Verdana"/>
          <w:sz w:val="20"/>
          <w:szCs w:val="20"/>
        </w:rPr>
        <w:t xml:space="preserve">, </w:t>
      </w:r>
      <w:r w:rsidRPr="008922E4">
        <w:rPr>
          <w:rFonts w:ascii="Verdana" w:hAnsi="Verdana"/>
          <w:sz w:val="20"/>
          <w:szCs w:val="20"/>
        </w:rPr>
        <w:t xml:space="preserve">o </w:t>
      </w:r>
      <w:r w:rsidR="00A33439">
        <w:rPr>
          <w:rFonts w:ascii="Verdana" w:hAnsi="Verdana"/>
          <w:sz w:val="20"/>
          <w:szCs w:val="20"/>
        </w:rPr>
        <w:t xml:space="preserve">cuando </w:t>
      </w:r>
      <w:r w:rsidR="000B7AEF">
        <w:rPr>
          <w:rFonts w:ascii="Verdana" w:hAnsi="Verdana"/>
          <w:sz w:val="20"/>
          <w:szCs w:val="20"/>
        </w:rPr>
        <w:t>hayan</w:t>
      </w:r>
      <w:r w:rsidR="00A33439">
        <w:rPr>
          <w:rFonts w:ascii="Verdana" w:hAnsi="Verdana"/>
          <w:sz w:val="20"/>
          <w:szCs w:val="20"/>
        </w:rPr>
        <w:t xml:space="preserve"> sido </w:t>
      </w:r>
      <w:r w:rsidRPr="008922E4">
        <w:rPr>
          <w:rFonts w:ascii="Verdana" w:hAnsi="Verdana"/>
          <w:sz w:val="20"/>
          <w:szCs w:val="20"/>
        </w:rPr>
        <w:t>reestructurados</w:t>
      </w:r>
      <w:r w:rsidR="00A33439">
        <w:rPr>
          <w:rFonts w:ascii="Verdana" w:hAnsi="Verdana"/>
          <w:sz w:val="20"/>
          <w:szCs w:val="20"/>
        </w:rPr>
        <w:t xml:space="preserve"> de acuerdo con</w:t>
      </w:r>
      <w:r w:rsidR="00F94EF9">
        <w:rPr>
          <w:rFonts w:ascii="Verdana" w:hAnsi="Verdana"/>
          <w:sz w:val="20"/>
          <w:szCs w:val="20"/>
        </w:rPr>
        <w:t xml:space="preserve"> dispuesto entre</w:t>
      </w:r>
      <w:r w:rsidR="00A33439">
        <w:rPr>
          <w:rFonts w:ascii="Verdana" w:hAnsi="Verdana"/>
          <w:sz w:val="20"/>
          <w:szCs w:val="20"/>
        </w:rPr>
        <w:t xml:space="preserve"> los párrafos </w:t>
      </w:r>
      <w:r w:rsidR="00236E08">
        <w:rPr>
          <w:rFonts w:ascii="Verdana" w:hAnsi="Verdana"/>
          <w:sz w:val="20"/>
          <w:szCs w:val="20"/>
        </w:rPr>
        <w:t>1.1.</w:t>
      </w:r>
      <w:r w:rsidR="000B7AEF">
        <w:rPr>
          <w:rFonts w:ascii="Verdana" w:hAnsi="Verdana"/>
          <w:sz w:val="20"/>
          <w:szCs w:val="20"/>
        </w:rPr>
        <w:t xml:space="preserve">2.54. </w:t>
      </w:r>
      <w:r w:rsidR="00F94EF9">
        <w:rPr>
          <w:rFonts w:ascii="Verdana" w:hAnsi="Verdana"/>
          <w:sz w:val="20"/>
          <w:szCs w:val="20"/>
        </w:rPr>
        <w:t>y</w:t>
      </w:r>
      <w:r w:rsidR="000B7AEF">
        <w:rPr>
          <w:rFonts w:ascii="Verdana" w:hAnsi="Verdana"/>
          <w:sz w:val="20"/>
          <w:szCs w:val="20"/>
        </w:rPr>
        <w:t xml:space="preserve"> 1.1.2.62.</w:t>
      </w:r>
      <w:r w:rsidRPr="008922E4">
        <w:rPr>
          <w:rFonts w:ascii="Verdana" w:hAnsi="Verdana"/>
          <w:sz w:val="20"/>
          <w:szCs w:val="20"/>
        </w:rPr>
        <w:t xml:space="preserve">, evento en el cual </w:t>
      </w:r>
      <w:r w:rsidR="00836A09">
        <w:rPr>
          <w:rFonts w:ascii="Verdana" w:hAnsi="Verdana"/>
          <w:sz w:val="20"/>
          <w:szCs w:val="20"/>
        </w:rPr>
        <w:t xml:space="preserve">se </w:t>
      </w:r>
      <w:r w:rsidRPr="008922E4">
        <w:rPr>
          <w:rFonts w:ascii="Verdana" w:hAnsi="Verdana"/>
          <w:sz w:val="20"/>
          <w:szCs w:val="20"/>
        </w:rPr>
        <w:t>deben recalificar</w:t>
      </w:r>
      <w:r w:rsidR="00836A09">
        <w:rPr>
          <w:rFonts w:ascii="Verdana" w:hAnsi="Verdana"/>
          <w:sz w:val="20"/>
          <w:szCs w:val="20"/>
        </w:rPr>
        <w:t xml:space="preserve"> de forma</w:t>
      </w:r>
      <w:r w:rsidRPr="008922E4">
        <w:rPr>
          <w:rFonts w:ascii="Verdana" w:hAnsi="Verdana"/>
          <w:sz w:val="20"/>
          <w:szCs w:val="20"/>
        </w:rPr>
        <w:t xml:space="preserve"> inmediata.</w:t>
      </w:r>
    </w:p>
    <w:p w14:paraId="2B7E2F29" w14:textId="77777777" w:rsidR="008922E4" w:rsidRDefault="008922E4" w:rsidP="00766CA6">
      <w:pPr>
        <w:pStyle w:val="Prrafodelista"/>
        <w:spacing w:after="0"/>
        <w:ind w:left="567"/>
        <w:jc w:val="both"/>
        <w:rPr>
          <w:rFonts w:ascii="Verdana" w:hAnsi="Verdana"/>
          <w:sz w:val="20"/>
          <w:szCs w:val="20"/>
        </w:rPr>
      </w:pPr>
    </w:p>
    <w:p w14:paraId="129FA562" w14:textId="77777777" w:rsidR="008922E4" w:rsidRDefault="008922E4" w:rsidP="00766CA6">
      <w:pPr>
        <w:pStyle w:val="Prrafodelista"/>
        <w:numPr>
          <w:ilvl w:val="0"/>
          <w:numId w:val="17"/>
        </w:numPr>
        <w:spacing w:after="0"/>
        <w:ind w:left="567" w:hanging="567"/>
        <w:jc w:val="both"/>
        <w:rPr>
          <w:rFonts w:ascii="Verdana" w:hAnsi="Verdana"/>
          <w:sz w:val="20"/>
          <w:szCs w:val="20"/>
        </w:rPr>
      </w:pPr>
      <w:r w:rsidRPr="008922E4">
        <w:rPr>
          <w:rFonts w:ascii="Verdana" w:hAnsi="Verdana"/>
          <w:sz w:val="20"/>
          <w:szCs w:val="20"/>
        </w:rPr>
        <w:t>Como mínimo en los meses de mayo y noviembre, deben registrar los resultados de la evaluación y recalificación a la que hubiere lugar al cierre del mes siguiente.</w:t>
      </w:r>
    </w:p>
    <w:p w14:paraId="11985235" w14:textId="77777777" w:rsidR="008922E4" w:rsidRPr="008922E4" w:rsidRDefault="008922E4" w:rsidP="00766CA6">
      <w:pPr>
        <w:pStyle w:val="Prrafodelista"/>
        <w:jc w:val="both"/>
        <w:rPr>
          <w:rFonts w:ascii="Verdana" w:hAnsi="Verdana"/>
          <w:sz w:val="20"/>
          <w:szCs w:val="20"/>
        </w:rPr>
      </w:pPr>
    </w:p>
    <w:p w14:paraId="69D1FE84" w14:textId="3ADD9EDB" w:rsidR="00420487" w:rsidRDefault="008922E4" w:rsidP="00766CA6">
      <w:pPr>
        <w:pStyle w:val="Prrafodelista"/>
        <w:numPr>
          <w:ilvl w:val="0"/>
          <w:numId w:val="17"/>
        </w:numPr>
        <w:spacing w:after="0"/>
        <w:ind w:left="567" w:hanging="567"/>
        <w:jc w:val="both"/>
        <w:rPr>
          <w:rFonts w:ascii="Verdana" w:hAnsi="Verdana"/>
          <w:sz w:val="20"/>
          <w:szCs w:val="20"/>
        </w:rPr>
      </w:pPr>
      <w:r w:rsidRPr="008922E4">
        <w:rPr>
          <w:rFonts w:ascii="Verdana" w:hAnsi="Verdana"/>
          <w:sz w:val="20"/>
          <w:szCs w:val="20"/>
        </w:rPr>
        <w:t>Cuando se tenga conocimiento de que el deudor se encuentra en un proceso concursal o cualquier clase de proceso judicial o administrativo que pueda afectar su capacidad de pago. La entidad debe documentar los resultados de la evaluación y tenerlos a disposición de la SFC.</w:t>
      </w:r>
    </w:p>
    <w:p w14:paraId="571A139C" w14:textId="77777777" w:rsidR="008922E4" w:rsidRPr="008922E4" w:rsidRDefault="008922E4" w:rsidP="00766CA6">
      <w:pPr>
        <w:spacing w:after="0"/>
        <w:jc w:val="both"/>
        <w:rPr>
          <w:rFonts w:ascii="Verdana" w:hAnsi="Verdana"/>
          <w:sz w:val="20"/>
          <w:szCs w:val="20"/>
        </w:rPr>
      </w:pPr>
    </w:p>
    <w:p w14:paraId="612883EF" w14:textId="01F33201" w:rsidR="00B2523A" w:rsidRDefault="00B2523A"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47</w:t>
      </w:r>
      <w:r w:rsidRPr="0086035E">
        <w:rPr>
          <w:rFonts w:ascii="Verdana" w:hAnsi="Verdana"/>
          <w:sz w:val="20"/>
          <w:szCs w:val="20"/>
        </w:rPr>
        <w:t>.</w:t>
      </w:r>
    </w:p>
    <w:p w14:paraId="5F978B03" w14:textId="77777777" w:rsidR="00F82415" w:rsidRPr="00F82415" w:rsidRDefault="00F82415" w:rsidP="00766CA6">
      <w:pPr>
        <w:jc w:val="both"/>
        <w:rPr>
          <w:rFonts w:ascii="Verdana" w:hAnsi="Verdana"/>
          <w:sz w:val="20"/>
          <w:szCs w:val="20"/>
        </w:rPr>
      </w:pPr>
      <w:r w:rsidRPr="00F82415">
        <w:rPr>
          <w:rFonts w:ascii="Verdana" w:hAnsi="Verdana"/>
          <w:sz w:val="20"/>
          <w:szCs w:val="20"/>
        </w:rPr>
        <w:t>En el caso de microcréditos, el continuo monitoreo y calificación de las operaciones crediticias se debe realizar considerando como mínimo los aspectos evaluados en el proceso de otorgamiento, perfil del deudor, plazo de la operación y frecuencia de los pagos.</w:t>
      </w:r>
    </w:p>
    <w:p w14:paraId="2E493A59" w14:textId="7755AA30" w:rsidR="00F82415" w:rsidRDefault="00F82415"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48</w:t>
      </w:r>
      <w:r w:rsidRPr="0086035E">
        <w:rPr>
          <w:rFonts w:ascii="Verdana" w:hAnsi="Verdana"/>
          <w:sz w:val="20"/>
          <w:szCs w:val="20"/>
        </w:rPr>
        <w:t>.</w:t>
      </w:r>
    </w:p>
    <w:p w14:paraId="11BC4387" w14:textId="77777777" w:rsidR="00F82415" w:rsidRPr="00F82415" w:rsidRDefault="00F82415" w:rsidP="00766CA6">
      <w:pPr>
        <w:jc w:val="both"/>
        <w:rPr>
          <w:rFonts w:ascii="Verdana" w:hAnsi="Verdana"/>
          <w:sz w:val="20"/>
          <w:szCs w:val="20"/>
        </w:rPr>
      </w:pPr>
      <w:r w:rsidRPr="00F82415">
        <w:rPr>
          <w:rFonts w:ascii="Verdana" w:hAnsi="Verdana"/>
          <w:sz w:val="20"/>
          <w:szCs w:val="20"/>
        </w:rPr>
        <w:t xml:space="preserve">Los modelos internos que se desarrollen deben determinar la pérdida esperada por la exposición al riesgo de crédito. La información que resulte de estos modelos debe ser almacenada como insumo para el afinamiento y retroalimentación de </w:t>
      </w:r>
      <w:proofErr w:type="gramStart"/>
      <w:r w:rsidRPr="00F82415">
        <w:rPr>
          <w:rFonts w:ascii="Verdana" w:hAnsi="Verdana"/>
          <w:sz w:val="20"/>
          <w:szCs w:val="20"/>
        </w:rPr>
        <w:t>los mismos</w:t>
      </w:r>
      <w:proofErr w:type="gramEnd"/>
      <w:r w:rsidRPr="00F82415">
        <w:rPr>
          <w:rFonts w:ascii="Verdana" w:hAnsi="Verdana"/>
          <w:sz w:val="20"/>
          <w:szCs w:val="20"/>
        </w:rPr>
        <w:t>.</w:t>
      </w:r>
    </w:p>
    <w:p w14:paraId="03624097" w14:textId="318D6986" w:rsidR="00F82415" w:rsidRDefault="00F82415"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49</w:t>
      </w:r>
      <w:r w:rsidRPr="0086035E">
        <w:rPr>
          <w:rFonts w:ascii="Verdana" w:hAnsi="Verdana"/>
          <w:sz w:val="20"/>
          <w:szCs w:val="20"/>
        </w:rPr>
        <w:t>.</w:t>
      </w:r>
    </w:p>
    <w:p w14:paraId="09DACF60" w14:textId="79197D26" w:rsidR="00543099" w:rsidRDefault="00F82415" w:rsidP="00766CA6">
      <w:pPr>
        <w:jc w:val="both"/>
        <w:rPr>
          <w:rFonts w:ascii="Verdana" w:hAnsi="Verdana"/>
          <w:sz w:val="20"/>
          <w:szCs w:val="20"/>
        </w:rPr>
      </w:pPr>
      <w:r w:rsidRPr="00F82415">
        <w:rPr>
          <w:rFonts w:ascii="Verdana" w:hAnsi="Verdana"/>
          <w:sz w:val="20"/>
          <w:szCs w:val="20"/>
        </w:rPr>
        <w:t xml:space="preserve">Las metodologías utilizadas para el control y monitoreo </w:t>
      </w:r>
      <w:r w:rsidR="00FB63E9">
        <w:rPr>
          <w:rFonts w:ascii="Verdana" w:hAnsi="Verdana"/>
          <w:sz w:val="20"/>
          <w:szCs w:val="20"/>
        </w:rPr>
        <w:t xml:space="preserve">se </w:t>
      </w:r>
      <w:r w:rsidRPr="00F82415">
        <w:rPr>
          <w:rFonts w:ascii="Verdana" w:hAnsi="Verdana"/>
          <w:sz w:val="20"/>
          <w:szCs w:val="20"/>
        </w:rPr>
        <w:t>deben evalua</w:t>
      </w:r>
      <w:r w:rsidR="00FB63E9">
        <w:rPr>
          <w:rFonts w:ascii="Verdana" w:hAnsi="Verdana"/>
          <w:sz w:val="20"/>
          <w:szCs w:val="20"/>
        </w:rPr>
        <w:t xml:space="preserve">r </w:t>
      </w:r>
      <w:r w:rsidRPr="00F82415">
        <w:rPr>
          <w:rFonts w:ascii="Verdana" w:hAnsi="Verdana"/>
          <w:sz w:val="20"/>
          <w:szCs w:val="20"/>
        </w:rPr>
        <w:t xml:space="preserve">como mínimo 2 veces al año, a más tardar en mayo y en noviembre, para establecer la idoneidad de </w:t>
      </w:r>
      <w:proofErr w:type="gramStart"/>
      <w:r w:rsidRPr="00F82415">
        <w:rPr>
          <w:rFonts w:ascii="Verdana" w:hAnsi="Verdana"/>
          <w:sz w:val="20"/>
          <w:szCs w:val="20"/>
        </w:rPr>
        <w:t>las mismas</w:t>
      </w:r>
      <w:proofErr w:type="gramEnd"/>
      <w:r w:rsidRPr="00F82415">
        <w:rPr>
          <w:rFonts w:ascii="Verdana" w:hAnsi="Verdana"/>
          <w:sz w:val="20"/>
          <w:szCs w:val="20"/>
        </w:rPr>
        <w:t>, al igual que la relevancia de las variables seleccionadas para cada una de ellas. Igualmente, estas metodologías deben ser probadas en escenarios y condiciones extremas y se debe medir la suficiencia del nivel de cubrimiento de las provisiones estimadas frente a las pérdidas efectivamente observadas. Los resultados de estas evaluaciones y pruebas deben ser presentados por el representante legal principal, a la JD o al consejo de administración, y estar a disposición de la SFC junto con las conclusiones de su análisis.</w:t>
      </w:r>
    </w:p>
    <w:p w14:paraId="7A47DDD6" w14:textId="1861B597" w:rsidR="00543099" w:rsidRPr="00FA755C" w:rsidRDefault="00FA755C" w:rsidP="00766CA6">
      <w:pPr>
        <w:pStyle w:val="Prrafodelista"/>
        <w:numPr>
          <w:ilvl w:val="0"/>
          <w:numId w:val="6"/>
        </w:numPr>
        <w:ind w:left="567" w:hanging="283"/>
        <w:jc w:val="both"/>
        <w:rPr>
          <w:rFonts w:ascii="Verdana" w:hAnsi="Verdana"/>
          <w:b/>
          <w:bCs/>
          <w:sz w:val="20"/>
          <w:szCs w:val="20"/>
        </w:rPr>
      </w:pPr>
      <w:r w:rsidRPr="00FA755C">
        <w:rPr>
          <w:rFonts w:ascii="Verdana" w:hAnsi="Verdana"/>
          <w:b/>
          <w:bCs/>
          <w:sz w:val="20"/>
          <w:szCs w:val="20"/>
        </w:rPr>
        <w:t xml:space="preserve">Modificaciones de las condiciones pactadas </w:t>
      </w:r>
      <w:r w:rsidR="003A2D4D">
        <w:rPr>
          <w:rFonts w:ascii="Verdana" w:hAnsi="Verdana"/>
          <w:b/>
          <w:bCs/>
          <w:sz w:val="20"/>
          <w:szCs w:val="20"/>
        </w:rPr>
        <w:t xml:space="preserve">que </w:t>
      </w:r>
      <w:r w:rsidRPr="00FA755C">
        <w:rPr>
          <w:rFonts w:ascii="Verdana" w:hAnsi="Verdana"/>
          <w:b/>
          <w:bCs/>
          <w:sz w:val="20"/>
          <w:szCs w:val="20"/>
        </w:rPr>
        <w:t xml:space="preserve">no </w:t>
      </w:r>
      <w:r w:rsidR="003A2D4D">
        <w:rPr>
          <w:rFonts w:ascii="Verdana" w:hAnsi="Verdana"/>
          <w:b/>
          <w:bCs/>
          <w:sz w:val="20"/>
          <w:szCs w:val="20"/>
        </w:rPr>
        <w:t xml:space="preserve">se </w:t>
      </w:r>
      <w:r w:rsidRPr="00FA755C">
        <w:rPr>
          <w:rFonts w:ascii="Verdana" w:hAnsi="Verdana"/>
          <w:b/>
          <w:bCs/>
          <w:sz w:val="20"/>
          <w:szCs w:val="20"/>
        </w:rPr>
        <w:t>considera</w:t>
      </w:r>
      <w:r w:rsidR="003A2D4D">
        <w:rPr>
          <w:rFonts w:ascii="Verdana" w:hAnsi="Verdana"/>
          <w:b/>
          <w:bCs/>
          <w:sz w:val="20"/>
          <w:szCs w:val="20"/>
        </w:rPr>
        <w:t xml:space="preserve">n </w:t>
      </w:r>
      <w:r w:rsidRPr="00FA755C">
        <w:rPr>
          <w:rFonts w:ascii="Verdana" w:hAnsi="Verdana"/>
          <w:b/>
          <w:bCs/>
          <w:sz w:val="20"/>
          <w:szCs w:val="20"/>
        </w:rPr>
        <w:t>como reestructura</w:t>
      </w:r>
      <w:r w:rsidR="00CE7CC7">
        <w:rPr>
          <w:rFonts w:ascii="Verdana" w:hAnsi="Verdana"/>
          <w:b/>
          <w:bCs/>
          <w:sz w:val="20"/>
          <w:szCs w:val="20"/>
        </w:rPr>
        <w:t>ción</w:t>
      </w:r>
    </w:p>
    <w:p w14:paraId="45140B53" w14:textId="03FBC9BE" w:rsidR="00543099" w:rsidRPr="00543099" w:rsidRDefault="00543099" w:rsidP="00766CA6">
      <w:pPr>
        <w:spacing w:after="0"/>
        <w:jc w:val="both"/>
        <w:rPr>
          <w:rFonts w:ascii="Verdana" w:hAnsi="Verdana"/>
          <w:sz w:val="20"/>
          <w:szCs w:val="20"/>
        </w:rPr>
      </w:pPr>
      <w:r w:rsidRPr="00543099">
        <w:rPr>
          <w:rFonts w:ascii="Verdana" w:hAnsi="Verdana"/>
          <w:sz w:val="20"/>
          <w:szCs w:val="20"/>
        </w:rPr>
        <w:t>1.1.2.</w:t>
      </w:r>
      <w:r>
        <w:rPr>
          <w:rFonts w:ascii="Verdana" w:hAnsi="Verdana"/>
          <w:sz w:val="20"/>
          <w:szCs w:val="20"/>
        </w:rPr>
        <w:t>50</w:t>
      </w:r>
      <w:r w:rsidRPr="00543099">
        <w:rPr>
          <w:rFonts w:ascii="Verdana" w:hAnsi="Verdana"/>
          <w:sz w:val="20"/>
          <w:szCs w:val="20"/>
        </w:rPr>
        <w:t>.</w:t>
      </w:r>
    </w:p>
    <w:p w14:paraId="6066D6ED" w14:textId="239F048D" w:rsidR="00A2298C" w:rsidRDefault="00E0010E" w:rsidP="00766CA6">
      <w:pPr>
        <w:jc w:val="both"/>
        <w:rPr>
          <w:rFonts w:ascii="Verdana" w:hAnsi="Verdana"/>
          <w:sz w:val="20"/>
          <w:szCs w:val="20"/>
        </w:rPr>
      </w:pPr>
      <w:r w:rsidRPr="00E0010E">
        <w:rPr>
          <w:rFonts w:ascii="Verdana" w:hAnsi="Verdana"/>
          <w:sz w:val="20"/>
          <w:szCs w:val="20"/>
        </w:rPr>
        <w:t>Con el fin de permitirle al deudor la atención adecuada de su obligación ante el potencial o real deterioro de su capacidad de pago, la entidad podrá modificar las condiciones originalmente pactadas de los créditos sin que estos ajustes sean considerados como una reestructuración en los términos de</w:t>
      </w:r>
      <w:r w:rsidR="00F94EF9">
        <w:rPr>
          <w:rFonts w:ascii="Verdana" w:hAnsi="Verdana"/>
          <w:sz w:val="20"/>
          <w:szCs w:val="20"/>
        </w:rPr>
        <w:t xml:space="preserve"> los párrafos 1.1.2.54. </w:t>
      </w:r>
      <w:r w:rsidR="00E51E97">
        <w:rPr>
          <w:rFonts w:ascii="Verdana" w:hAnsi="Verdana"/>
          <w:sz w:val="20"/>
          <w:szCs w:val="20"/>
        </w:rPr>
        <w:t>al</w:t>
      </w:r>
      <w:r w:rsidR="00F94EF9">
        <w:rPr>
          <w:rFonts w:ascii="Verdana" w:hAnsi="Verdana"/>
          <w:sz w:val="20"/>
          <w:szCs w:val="20"/>
        </w:rPr>
        <w:t xml:space="preserve"> 1.1.2.62.</w:t>
      </w:r>
      <w:r w:rsidRPr="00E0010E">
        <w:rPr>
          <w:rFonts w:ascii="Verdana" w:hAnsi="Verdana"/>
          <w:sz w:val="20"/>
          <w:szCs w:val="20"/>
        </w:rPr>
        <w:t>, siempre y cuando durante los últimos 6 meses el crédito no haya alcanzado una mora mayor a 60 días para</w:t>
      </w:r>
      <w:r w:rsidR="0050637A">
        <w:rPr>
          <w:rFonts w:ascii="Verdana" w:hAnsi="Verdana"/>
          <w:sz w:val="20"/>
          <w:szCs w:val="20"/>
        </w:rPr>
        <w:t xml:space="preserve"> los créditos de</w:t>
      </w:r>
      <w:r w:rsidRPr="00E0010E" w:rsidDel="0050637A">
        <w:rPr>
          <w:rFonts w:ascii="Verdana" w:hAnsi="Verdana"/>
          <w:sz w:val="20"/>
          <w:szCs w:val="20"/>
        </w:rPr>
        <w:t xml:space="preserve"> </w:t>
      </w:r>
      <w:r w:rsidR="004E34EA">
        <w:rPr>
          <w:rFonts w:ascii="Verdana" w:hAnsi="Verdana"/>
          <w:sz w:val="20"/>
          <w:szCs w:val="20"/>
        </w:rPr>
        <w:t>la</w:t>
      </w:r>
      <w:r w:rsidR="00037E49">
        <w:rPr>
          <w:rFonts w:ascii="Verdana" w:hAnsi="Verdana"/>
          <w:sz w:val="20"/>
          <w:szCs w:val="20"/>
        </w:rPr>
        <w:t>s</w:t>
      </w:r>
      <w:r w:rsidR="004E34EA">
        <w:rPr>
          <w:rFonts w:ascii="Verdana" w:hAnsi="Verdana"/>
          <w:sz w:val="20"/>
          <w:szCs w:val="20"/>
        </w:rPr>
        <w:t xml:space="preserve"> cartera</w:t>
      </w:r>
      <w:r w:rsidR="00037E49">
        <w:rPr>
          <w:rFonts w:ascii="Verdana" w:hAnsi="Verdana"/>
          <w:sz w:val="20"/>
          <w:szCs w:val="20"/>
        </w:rPr>
        <w:t>s</w:t>
      </w:r>
      <w:r w:rsidR="004E34EA">
        <w:rPr>
          <w:rFonts w:ascii="Verdana" w:hAnsi="Verdana"/>
          <w:sz w:val="20"/>
          <w:szCs w:val="20"/>
        </w:rPr>
        <w:t xml:space="preserve"> de </w:t>
      </w:r>
      <w:r w:rsidRPr="00E0010E">
        <w:rPr>
          <w:rFonts w:ascii="Verdana" w:hAnsi="Verdana"/>
          <w:sz w:val="20"/>
          <w:szCs w:val="20"/>
        </w:rPr>
        <w:t xml:space="preserve">microcrédito y </w:t>
      </w:r>
      <w:r w:rsidR="00037E49">
        <w:rPr>
          <w:rFonts w:ascii="Verdana" w:hAnsi="Verdana"/>
          <w:sz w:val="20"/>
          <w:szCs w:val="20"/>
        </w:rPr>
        <w:t xml:space="preserve">de </w:t>
      </w:r>
      <w:r w:rsidRPr="00E0010E">
        <w:rPr>
          <w:rFonts w:ascii="Verdana" w:hAnsi="Verdana"/>
          <w:sz w:val="20"/>
          <w:szCs w:val="20"/>
        </w:rPr>
        <w:t xml:space="preserve">consumo; y </w:t>
      </w:r>
      <w:r w:rsidR="00DE0A4E">
        <w:rPr>
          <w:rFonts w:ascii="Verdana" w:hAnsi="Verdana"/>
          <w:sz w:val="20"/>
          <w:szCs w:val="20"/>
        </w:rPr>
        <w:t xml:space="preserve">de </w:t>
      </w:r>
      <w:r w:rsidRPr="00E0010E">
        <w:rPr>
          <w:rFonts w:ascii="Verdana" w:hAnsi="Verdana"/>
          <w:sz w:val="20"/>
          <w:szCs w:val="20"/>
        </w:rPr>
        <w:t xml:space="preserve">90 días </w:t>
      </w:r>
      <w:r w:rsidR="00301CF8" w:rsidRPr="00E0010E">
        <w:rPr>
          <w:rFonts w:ascii="Verdana" w:hAnsi="Verdana"/>
          <w:sz w:val="20"/>
          <w:szCs w:val="20"/>
        </w:rPr>
        <w:t>para</w:t>
      </w:r>
      <w:r w:rsidR="00301CF8">
        <w:rPr>
          <w:rFonts w:ascii="Verdana" w:hAnsi="Verdana"/>
          <w:sz w:val="20"/>
          <w:szCs w:val="20"/>
        </w:rPr>
        <w:t xml:space="preserve"> créditos</w:t>
      </w:r>
      <w:r w:rsidR="0050637A">
        <w:rPr>
          <w:rFonts w:ascii="Verdana" w:hAnsi="Verdana"/>
          <w:sz w:val="20"/>
          <w:szCs w:val="20"/>
        </w:rPr>
        <w:t xml:space="preserve"> </w:t>
      </w:r>
      <w:r w:rsidRPr="00E0010E">
        <w:rPr>
          <w:rFonts w:ascii="Verdana" w:hAnsi="Verdana"/>
          <w:sz w:val="20"/>
          <w:szCs w:val="20"/>
        </w:rPr>
        <w:t xml:space="preserve">comercial y </w:t>
      </w:r>
      <w:r w:rsidR="00037E49">
        <w:rPr>
          <w:rFonts w:ascii="Verdana" w:hAnsi="Verdana"/>
          <w:sz w:val="20"/>
          <w:szCs w:val="20"/>
        </w:rPr>
        <w:t xml:space="preserve">de </w:t>
      </w:r>
      <w:r w:rsidRPr="00E0010E">
        <w:rPr>
          <w:rFonts w:ascii="Verdana" w:hAnsi="Verdana"/>
          <w:sz w:val="20"/>
          <w:szCs w:val="20"/>
        </w:rPr>
        <w:t xml:space="preserve">vivienda. Estas modificaciones </w:t>
      </w:r>
      <w:r w:rsidR="00A05E6E">
        <w:rPr>
          <w:rFonts w:ascii="Verdana" w:hAnsi="Verdana"/>
          <w:sz w:val="20"/>
          <w:szCs w:val="20"/>
        </w:rPr>
        <w:t xml:space="preserve">se </w:t>
      </w:r>
      <w:r w:rsidRPr="00E0010E">
        <w:rPr>
          <w:rFonts w:ascii="Verdana" w:hAnsi="Verdana"/>
          <w:sz w:val="20"/>
          <w:szCs w:val="20"/>
        </w:rPr>
        <w:t>podrán efectuar a solicitud del deudor o por iniciativa de la entidad, previo acuerdo con el deudor. Estos créditos tendrán las siguientes características</w:t>
      </w:r>
      <w:r w:rsidR="00736FD9">
        <w:rPr>
          <w:rFonts w:ascii="Verdana" w:hAnsi="Verdana"/>
          <w:sz w:val="20"/>
          <w:szCs w:val="20"/>
        </w:rPr>
        <w:t>:</w:t>
      </w:r>
    </w:p>
    <w:p w14:paraId="64BC4D57" w14:textId="3528902E" w:rsidR="00A2298C" w:rsidRDefault="00A2298C" w:rsidP="00766CA6">
      <w:pPr>
        <w:pStyle w:val="Prrafodelista"/>
        <w:numPr>
          <w:ilvl w:val="0"/>
          <w:numId w:val="18"/>
        </w:numPr>
        <w:ind w:left="567" w:hanging="567"/>
        <w:jc w:val="both"/>
        <w:rPr>
          <w:rFonts w:ascii="Verdana" w:hAnsi="Verdana"/>
          <w:sz w:val="20"/>
          <w:szCs w:val="20"/>
        </w:rPr>
      </w:pPr>
      <w:r w:rsidRPr="00A2298C">
        <w:rPr>
          <w:rFonts w:ascii="Verdana" w:hAnsi="Verdana"/>
          <w:sz w:val="20"/>
          <w:szCs w:val="20"/>
        </w:rPr>
        <w:t>Las nuevas condiciones deben atender criterios de viabilidad financiera teniendo en cuenta el análisis de riesgo y capacidad de pago del deudor</w:t>
      </w:r>
      <w:r w:rsidR="007B6053">
        <w:rPr>
          <w:rFonts w:ascii="Verdana" w:hAnsi="Verdana"/>
          <w:sz w:val="20"/>
          <w:szCs w:val="20"/>
        </w:rPr>
        <w:t>,</w:t>
      </w:r>
      <w:r w:rsidRPr="00A2298C">
        <w:rPr>
          <w:rFonts w:ascii="Verdana" w:hAnsi="Verdana"/>
          <w:sz w:val="20"/>
          <w:szCs w:val="20"/>
        </w:rPr>
        <w:t xml:space="preserve"> sin que ello implique el uso excesivo de periodos de gracia</w:t>
      </w:r>
      <w:r w:rsidR="003B6205">
        <w:rPr>
          <w:rFonts w:ascii="Verdana" w:hAnsi="Verdana"/>
          <w:sz w:val="20"/>
          <w:szCs w:val="20"/>
        </w:rPr>
        <w:t>,</w:t>
      </w:r>
      <w:r w:rsidR="00E93B6B">
        <w:rPr>
          <w:rFonts w:ascii="Verdana" w:hAnsi="Verdana"/>
          <w:sz w:val="20"/>
          <w:szCs w:val="20"/>
        </w:rPr>
        <w:t xml:space="preserve"> según las condiciones de cada deudor y/</w:t>
      </w:r>
      <w:proofErr w:type="spellStart"/>
      <w:r w:rsidR="00E93B6B">
        <w:rPr>
          <w:rFonts w:ascii="Verdana" w:hAnsi="Verdana"/>
          <w:sz w:val="20"/>
          <w:szCs w:val="20"/>
        </w:rPr>
        <w:t>o</w:t>
      </w:r>
      <w:proofErr w:type="spellEnd"/>
      <w:r w:rsidR="00E93B6B">
        <w:rPr>
          <w:rFonts w:ascii="Verdana" w:hAnsi="Verdana"/>
          <w:sz w:val="20"/>
          <w:szCs w:val="20"/>
        </w:rPr>
        <w:t xml:space="preserve"> obligación</w:t>
      </w:r>
      <w:r w:rsidRPr="00A2298C">
        <w:rPr>
          <w:rFonts w:ascii="Verdana" w:hAnsi="Verdana"/>
          <w:sz w:val="20"/>
          <w:szCs w:val="20"/>
        </w:rPr>
        <w:t>.</w:t>
      </w:r>
    </w:p>
    <w:p w14:paraId="5ECE4635" w14:textId="77777777" w:rsidR="00A2298C" w:rsidRDefault="00A2298C" w:rsidP="00766CA6">
      <w:pPr>
        <w:pStyle w:val="Prrafodelista"/>
        <w:ind w:left="567"/>
        <w:jc w:val="both"/>
        <w:rPr>
          <w:rFonts w:ascii="Verdana" w:hAnsi="Verdana"/>
          <w:sz w:val="20"/>
          <w:szCs w:val="20"/>
        </w:rPr>
      </w:pPr>
    </w:p>
    <w:p w14:paraId="03CC8911" w14:textId="23320403" w:rsidR="00A2298C" w:rsidRDefault="00A2298C" w:rsidP="00766CA6">
      <w:pPr>
        <w:pStyle w:val="Prrafodelista"/>
        <w:numPr>
          <w:ilvl w:val="0"/>
          <w:numId w:val="18"/>
        </w:numPr>
        <w:ind w:left="567" w:hanging="567"/>
        <w:jc w:val="both"/>
        <w:rPr>
          <w:rFonts w:ascii="Verdana" w:hAnsi="Verdana"/>
          <w:sz w:val="20"/>
          <w:szCs w:val="20"/>
        </w:rPr>
      </w:pPr>
      <w:r w:rsidRPr="00A2298C">
        <w:rPr>
          <w:rFonts w:ascii="Verdana" w:hAnsi="Verdana"/>
          <w:sz w:val="20"/>
          <w:szCs w:val="20"/>
        </w:rPr>
        <w:t xml:space="preserve">Su calificación </w:t>
      </w:r>
      <w:r w:rsidR="00CC5BB9">
        <w:rPr>
          <w:rFonts w:ascii="Verdana" w:hAnsi="Verdana"/>
          <w:sz w:val="20"/>
          <w:szCs w:val="20"/>
        </w:rPr>
        <w:t xml:space="preserve">homologada al momento de la modificación </w:t>
      </w:r>
      <w:r w:rsidR="008A4C8B">
        <w:rPr>
          <w:rFonts w:ascii="Verdana" w:hAnsi="Verdana"/>
          <w:sz w:val="20"/>
          <w:szCs w:val="20"/>
        </w:rPr>
        <w:t xml:space="preserve">no podrá ser mejor </w:t>
      </w:r>
      <w:r w:rsidRPr="00A2298C">
        <w:rPr>
          <w:rFonts w:ascii="Verdana" w:hAnsi="Verdana"/>
          <w:sz w:val="20"/>
          <w:szCs w:val="20"/>
        </w:rPr>
        <w:t xml:space="preserve">a aquella que </w:t>
      </w:r>
      <w:r w:rsidR="006D4E09">
        <w:rPr>
          <w:rFonts w:ascii="Verdana" w:hAnsi="Verdana"/>
          <w:sz w:val="20"/>
          <w:szCs w:val="20"/>
        </w:rPr>
        <w:t>tenía el crédito</w:t>
      </w:r>
      <w:r w:rsidR="00424B86">
        <w:rPr>
          <w:rFonts w:ascii="Verdana" w:hAnsi="Verdana"/>
          <w:sz w:val="20"/>
          <w:szCs w:val="20"/>
        </w:rPr>
        <w:t xml:space="preserve"> </w:t>
      </w:r>
      <w:r w:rsidRPr="00A2298C">
        <w:rPr>
          <w:rFonts w:ascii="Verdana" w:hAnsi="Verdana"/>
          <w:sz w:val="20"/>
          <w:szCs w:val="20"/>
        </w:rPr>
        <w:t xml:space="preserve">al momento de la </w:t>
      </w:r>
      <w:r w:rsidR="00424B86">
        <w:rPr>
          <w:rFonts w:ascii="Verdana" w:hAnsi="Verdana"/>
          <w:sz w:val="20"/>
          <w:szCs w:val="20"/>
        </w:rPr>
        <w:t xml:space="preserve">solicitud de </w:t>
      </w:r>
      <w:r w:rsidRPr="00A2298C">
        <w:rPr>
          <w:rFonts w:ascii="Verdana" w:hAnsi="Verdana"/>
          <w:sz w:val="20"/>
          <w:szCs w:val="20"/>
        </w:rPr>
        <w:t xml:space="preserve">modificación </w:t>
      </w:r>
      <w:r w:rsidR="00694C46">
        <w:rPr>
          <w:rFonts w:ascii="Verdana" w:hAnsi="Verdana"/>
          <w:sz w:val="20"/>
          <w:szCs w:val="20"/>
        </w:rPr>
        <w:t xml:space="preserve">y debe efectuarse </w:t>
      </w:r>
      <w:r w:rsidRPr="00A2298C">
        <w:rPr>
          <w:rFonts w:ascii="Verdana" w:hAnsi="Verdana"/>
          <w:sz w:val="20"/>
          <w:szCs w:val="20"/>
        </w:rPr>
        <w:t xml:space="preserve">de acuerdo con el análisis de riesgo de que trata el literal </w:t>
      </w:r>
      <w:r w:rsidR="008225F3">
        <w:rPr>
          <w:rFonts w:ascii="Verdana" w:hAnsi="Verdana"/>
          <w:sz w:val="20"/>
          <w:szCs w:val="20"/>
        </w:rPr>
        <w:t>(</w:t>
      </w:r>
      <w:r w:rsidRPr="00A2298C">
        <w:rPr>
          <w:rFonts w:ascii="Verdana" w:hAnsi="Verdana"/>
          <w:sz w:val="20"/>
          <w:szCs w:val="20"/>
        </w:rPr>
        <w:t>a</w:t>
      </w:r>
      <w:r w:rsidR="008225F3">
        <w:rPr>
          <w:rFonts w:ascii="Verdana" w:hAnsi="Verdana"/>
          <w:sz w:val="20"/>
          <w:szCs w:val="20"/>
        </w:rPr>
        <w:t>)</w:t>
      </w:r>
      <w:r w:rsidRPr="00A2298C">
        <w:rPr>
          <w:rFonts w:ascii="Verdana" w:hAnsi="Verdana"/>
          <w:sz w:val="20"/>
          <w:szCs w:val="20"/>
        </w:rPr>
        <w:t xml:space="preserve"> de este </w:t>
      </w:r>
      <w:r w:rsidR="00B24B67">
        <w:rPr>
          <w:rFonts w:ascii="Verdana" w:hAnsi="Verdana"/>
          <w:sz w:val="20"/>
          <w:szCs w:val="20"/>
        </w:rPr>
        <w:t>párrafo</w:t>
      </w:r>
      <w:r w:rsidR="00D658CE">
        <w:rPr>
          <w:rFonts w:ascii="Verdana" w:hAnsi="Verdana"/>
          <w:sz w:val="20"/>
          <w:szCs w:val="20"/>
        </w:rPr>
        <w:t>,</w:t>
      </w:r>
      <w:r w:rsidR="0095539D">
        <w:rPr>
          <w:rFonts w:ascii="Verdana" w:hAnsi="Verdana"/>
          <w:sz w:val="20"/>
          <w:szCs w:val="20"/>
        </w:rPr>
        <w:t xml:space="preserve"> </w:t>
      </w:r>
      <w:r w:rsidRPr="00A2298C">
        <w:rPr>
          <w:rFonts w:ascii="Verdana" w:hAnsi="Verdana"/>
          <w:sz w:val="20"/>
          <w:szCs w:val="20"/>
        </w:rPr>
        <w:t xml:space="preserve">y según las instrucciones del presente </w:t>
      </w:r>
      <w:r w:rsidR="009D079A">
        <w:rPr>
          <w:rFonts w:ascii="Verdana" w:hAnsi="Verdana"/>
          <w:sz w:val="20"/>
          <w:szCs w:val="20"/>
        </w:rPr>
        <w:t>c</w:t>
      </w:r>
      <w:r w:rsidRPr="00A2298C">
        <w:rPr>
          <w:rFonts w:ascii="Verdana" w:hAnsi="Verdana"/>
          <w:sz w:val="20"/>
          <w:szCs w:val="20"/>
        </w:rPr>
        <w:t xml:space="preserve">apítulo y sus </w:t>
      </w:r>
      <w:r w:rsidR="009D079A">
        <w:rPr>
          <w:rFonts w:ascii="Verdana" w:hAnsi="Verdana"/>
          <w:sz w:val="20"/>
          <w:szCs w:val="20"/>
        </w:rPr>
        <w:t>a</w:t>
      </w:r>
      <w:r w:rsidRPr="00A2298C">
        <w:rPr>
          <w:rFonts w:ascii="Verdana" w:hAnsi="Verdana"/>
          <w:sz w:val="20"/>
          <w:szCs w:val="20"/>
        </w:rPr>
        <w:t xml:space="preserve">nexos en relación con </w:t>
      </w:r>
      <w:r w:rsidR="0048143F">
        <w:rPr>
          <w:rFonts w:ascii="Verdana" w:hAnsi="Verdana"/>
          <w:sz w:val="20"/>
          <w:szCs w:val="20"/>
        </w:rPr>
        <w:t xml:space="preserve">los requisitos de gestión del </w:t>
      </w:r>
      <w:r w:rsidRPr="00A2298C">
        <w:rPr>
          <w:rFonts w:ascii="Verdana" w:hAnsi="Verdana"/>
          <w:sz w:val="20"/>
          <w:szCs w:val="20"/>
        </w:rPr>
        <w:t>riesgo de crédito, y debe actualizarse bajo los mismos principios.</w:t>
      </w:r>
    </w:p>
    <w:p w14:paraId="58B2F25E" w14:textId="77777777" w:rsidR="00A2298C" w:rsidRPr="00A2298C" w:rsidRDefault="00A2298C" w:rsidP="00766CA6">
      <w:pPr>
        <w:pStyle w:val="Prrafodelista"/>
        <w:jc w:val="both"/>
        <w:rPr>
          <w:rFonts w:ascii="Verdana" w:hAnsi="Verdana"/>
          <w:sz w:val="20"/>
          <w:szCs w:val="20"/>
        </w:rPr>
      </w:pPr>
    </w:p>
    <w:p w14:paraId="73C9B1AC" w14:textId="018944A4" w:rsidR="00A2298C" w:rsidRDefault="00A2298C" w:rsidP="00766CA6">
      <w:pPr>
        <w:pStyle w:val="Prrafodelista"/>
        <w:numPr>
          <w:ilvl w:val="0"/>
          <w:numId w:val="18"/>
        </w:numPr>
        <w:ind w:left="567" w:hanging="567"/>
        <w:jc w:val="both"/>
        <w:rPr>
          <w:rFonts w:ascii="Verdana" w:hAnsi="Verdana"/>
          <w:sz w:val="20"/>
          <w:szCs w:val="20"/>
        </w:rPr>
      </w:pPr>
      <w:r w:rsidRPr="00A2298C">
        <w:rPr>
          <w:rFonts w:ascii="Verdana" w:hAnsi="Verdana"/>
          <w:sz w:val="20"/>
          <w:szCs w:val="20"/>
        </w:rPr>
        <w:t xml:space="preserve">Serán objeto de monitoreo especial por parte de la entidad. Sin embargo, una vez el deudor efectúe pagos regulares y efectivos a capital e intereses por un período </w:t>
      </w:r>
      <w:r w:rsidRPr="00A2298C">
        <w:rPr>
          <w:rFonts w:ascii="Verdana" w:hAnsi="Verdana"/>
          <w:sz w:val="20"/>
          <w:szCs w:val="20"/>
        </w:rPr>
        <w:lastRenderedPageBreak/>
        <w:t>de 9 meses ininterrumpidos para microcrédito y 12 meses para las demás modalidades</w:t>
      </w:r>
      <w:r w:rsidR="00C60A5D">
        <w:rPr>
          <w:rFonts w:ascii="Verdana" w:hAnsi="Verdana"/>
          <w:sz w:val="20"/>
          <w:szCs w:val="20"/>
        </w:rPr>
        <w:t xml:space="preserve"> de cartera</w:t>
      </w:r>
      <w:r w:rsidRPr="00A2298C">
        <w:rPr>
          <w:rFonts w:ascii="Verdana" w:hAnsi="Verdana"/>
          <w:sz w:val="20"/>
          <w:szCs w:val="20"/>
        </w:rPr>
        <w:t>, el crédito podrá salir de este monitoreo.</w:t>
      </w:r>
    </w:p>
    <w:p w14:paraId="1BB20A53" w14:textId="77777777" w:rsidR="00A2298C" w:rsidRPr="00A2298C" w:rsidRDefault="00A2298C" w:rsidP="00766CA6">
      <w:pPr>
        <w:pStyle w:val="Prrafodelista"/>
        <w:jc w:val="both"/>
        <w:rPr>
          <w:rFonts w:ascii="Verdana" w:hAnsi="Verdana"/>
          <w:sz w:val="20"/>
          <w:szCs w:val="20"/>
        </w:rPr>
      </w:pPr>
    </w:p>
    <w:p w14:paraId="623E6E0D" w14:textId="76A83FC0" w:rsidR="00825B15" w:rsidRDefault="00A2298C" w:rsidP="00766CA6">
      <w:pPr>
        <w:pStyle w:val="Prrafodelista"/>
        <w:numPr>
          <w:ilvl w:val="0"/>
          <w:numId w:val="18"/>
        </w:numPr>
        <w:ind w:left="567" w:hanging="567"/>
        <w:jc w:val="both"/>
        <w:rPr>
          <w:rFonts w:ascii="Verdana" w:hAnsi="Verdana"/>
          <w:sz w:val="20"/>
          <w:szCs w:val="20"/>
        </w:rPr>
      </w:pPr>
      <w:r w:rsidRPr="00A2298C">
        <w:rPr>
          <w:rFonts w:ascii="Verdana" w:hAnsi="Verdana"/>
          <w:sz w:val="20"/>
          <w:szCs w:val="20"/>
        </w:rPr>
        <w:t>Los créditos que se encuentren en la categoría de modificados y presenten mora mayor a 30 días, se deben reconocer como crédito</w:t>
      </w:r>
      <w:r w:rsidR="004E34EA">
        <w:rPr>
          <w:rFonts w:ascii="Verdana" w:hAnsi="Verdana"/>
          <w:sz w:val="20"/>
          <w:szCs w:val="20"/>
        </w:rPr>
        <w:t>s</w:t>
      </w:r>
      <w:r w:rsidRPr="00A2298C">
        <w:rPr>
          <w:rFonts w:ascii="Verdana" w:hAnsi="Verdana"/>
          <w:sz w:val="20"/>
          <w:szCs w:val="20"/>
        </w:rPr>
        <w:t xml:space="preserve"> reestructurado</w:t>
      </w:r>
      <w:r w:rsidR="004E34EA">
        <w:rPr>
          <w:rFonts w:ascii="Verdana" w:hAnsi="Verdana"/>
          <w:sz w:val="20"/>
          <w:szCs w:val="20"/>
        </w:rPr>
        <w:t>s</w:t>
      </w:r>
      <w:r w:rsidRPr="00A2298C">
        <w:rPr>
          <w:rFonts w:ascii="Verdana" w:hAnsi="Verdana"/>
          <w:sz w:val="20"/>
          <w:szCs w:val="20"/>
        </w:rPr>
        <w:t>.</w:t>
      </w:r>
    </w:p>
    <w:p w14:paraId="095F218E" w14:textId="697F0AD3" w:rsidR="00825B15" w:rsidRPr="00825B15" w:rsidRDefault="00825B15" w:rsidP="00766CA6">
      <w:pPr>
        <w:spacing w:after="0"/>
        <w:jc w:val="both"/>
        <w:rPr>
          <w:rFonts w:ascii="Verdana" w:hAnsi="Verdana"/>
          <w:sz w:val="20"/>
          <w:szCs w:val="20"/>
        </w:rPr>
      </w:pPr>
      <w:r w:rsidRPr="00825B15">
        <w:rPr>
          <w:rFonts w:ascii="Verdana" w:hAnsi="Verdana"/>
          <w:sz w:val="20"/>
          <w:szCs w:val="20"/>
        </w:rPr>
        <w:t>1.1.2.5</w:t>
      </w:r>
      <w:r w:rsidR="00E12A3E">
        <w:rPr>
          <w:rFonts w:ascii="Verdana" w:hAnsi="Verdana"/>
          <w:sz w:val="20"/>
          <w:szCs w:val="20"/>
        </w:rPr>
        <w:t>1</w:t>
      </w:r>
      <w:r w:rsidRPr="00825B15">
        <w:rPr>
          <w:rFonts w:ascii="Verdana" w:hAnsi="Verdana"/>
          <w:sz w:val="20"/>
          <w:szCs w:val="20"/>
        </w:rPr>
        <w:t>.</w:t>
      </w:r>
    </w:p>
    <w:p w14:paraId="1ED178A3" w14:textId="2F7A9DE1" w:rsidR="00825B15" w:rsidRPr="00825B15" w:rsidRDefault="00825B15" w:rsidP="00766CA6">
      <w:pPr>
        <w:jc w:val="both"/>
        <w:rPr>
          <w:rFonts w:ascii="Verdana" w:hAnsi="Verdana"/>
          <w:sz w:val="20"/>
          <w:szCs w:val="20"/>
        </w:rPr>
      </w:pPr>
      <w:r w:rsidRPr="00825B15">
        <w:rPr>
          <w:rFonts w:ascii="Verdana" w:hAnsi="Verdana"/>
          <w:sz w:val="20"/>
          <w:szCs w:val="20"/>
        </w:rPr>
        <w:t>Las modificaciones no pueden convertirse en una práctica generalizada para regularizar el comportamiento de la cartera de créditos. Adicionalmente la entidad debe:</w:t>
      </w:r>
    </w:p>
    <w:p w14:paraId="7A549B5A" w14:textId="434B2FC2" w:rsidR="00825B15" w:rsidRDefault="00825B15" w:rsidP="00766CA6">
      <w:pPr>
        <w:pStyle w:val="Prrafodelista"/>
        <w:numPr>
          <w:ilvl w:val="0"/>
          <w:numId w:val="19"/>
        </w:numPr>
        <w:ind w:left="567" w:hanging="567"/>
        <w:jc w:val="both"/>
        <w:rPr>
          <w:rFonts w:ascii="Verdana" w:hAnsi="Verdana"/>
          <w:sz w:val="20"/>
          <w:szCs w:val="20"/>
        </w:rPr>
      </w:pPr>
      <w:r w:rsidRPr="00825B15">
        <w:rPr>
          <w:rFonts w:ascii="Verdana" w:hAnsi="Verdana"/>
          <w:sz w:val="20"/>
          <w:szCs w:val="20"/>
        </w:rPr>
        <w:t xml:space="preserve">Contar con sistemas de información que permitan la identificación y seguimiento de las operaciones modificadas, incluida la calificación de riesgo de </w:t>
      </w:r>
      <w:proofErr w:type="gramStart"/>
      <w:r w:rsidRPr="00825B15">
        <w:rPr>
          <w:rFonts w:ascii="Verdana" w:hAnsi="Verdana"/>
          <w:sz w:val="20"/>
          <w:szCs w:val="20"/>
        </w:rPr>
        <w:t>las mismas</w:t>
      </w:r>
      <w:proofErr w:type="gramEnd"/>
      <w:r>
        <w:rPr>
          <w:rFonts w:ascii="Verdana" w:hAnsi="Verdana"/>
          <w:sz w:val="20"/>
          <w:szCs w:val="20"/>
        </w:rPr>
        <w:t>.</w:t>
      </w:r>
    </w:p>
    <w:p w14:paraId="096F2FC0" w14:textId="77777777" w:rsidR="00825B15" w:rsidRDefault="00825B15" w:rsidP="00766CA6">
      <w:pPr>
        <w:pStyle w:val="Prrafodelista"/>
        <w:ind w:left="567"/>
        <w:jc w:val="both"/>
        <w:rPr>
          <w:rFonts w:ascii="Verdana" w:hAnsi="Verdana"/>
          <w:sz w:val="20"/>
          <w:szCs w:val="20"/>
        </w:rPr>
      </w:pPr>
    </w:p>
    <w:p w14:paraId="5D84591E" w14:textId="77777777" w:rsidR="00825B15" w:rsidRDefault="00825B15" w:rsidP="00766CA6">
      <w:pPr>
        <w:pStyle w:val="Prrafodelista"/>
        <w:numPr>
          <w:ilvl w:val="0"/>
          <w:numId w:val="19"/>
        </w:numPr>
        <w:ind w:left="567" w:hanging="567"/>
        <w:jc w:val="both"/>
        <w:rPr>
          <w:rFonts w:ascii="Verdana" w:hAnsi="Verdana"/>
          <w:sz w:val="20"/>
          <w:szCs w:val="20"/>
        </w:rPr>
      </w:pPr>
      <w:r w:rsidRPr="00825B15">
        <w:rPr>
          <w:rFonts w:ascii="Verdana" w:hAnsi="Verdana"/>
          <w:sz w:val="20"/>
          <w:szCs w:val="20"/>
        </w:rPr>
        <w:t>Establecer políticas y procedimientos específicos para la gestión y seguimiento de las solicitudes de modificación de las condiciones de estos créditos, conforme a los criterios anteriormente descritos.</w:t>
      </w:r>
    </w:p>
    <w:p w14:paraId="395BB5D5" w14:textId="77777777" w:rsidR="00825B15" w:rsidRPr="00825B15" w:rsidRDefault="00825B15" w:rsidP="00766CA6">
      <w:pPr>
        <w:pStyle w:val="Prrafodelista"/>
        <w:jc w:val="both"/>
        <w:rPr>
          <w:rFonts w:ascii="Verdana" w:hAnsi="Verdana"/>
          <w:sz w:val="20"/>
          <w:szCs w:val="20"/>
        </w:rPr>
      </w:pPr>
    </w:p>
    <w:p w14:paraId="388EBD86" w14:textId="77777777" w:rsidR="007B570D" w:rsidRDefault="00825B15" w:rsidP="00766CA6">
      <w:pPr>
        <w:pStyle w:val="Prrafodelista"/>
        <w:numPr>
          <w:ilvl w:val="0"/>
          <w:numId w:val="19"/>
        </w:numPr>
        <w:ind w:left="567" w:hanging="567"/>
        <w:jc w:val="both"/>
        <w:rPr>
          <w:rFonts w:ascii="Verdana" w:hAnsi="Verdana"/>
          <w:sz w:val="20"/>
          <w:szCs w:val="20"/>
        </w:rPr>
      </w:pPr>
      <w:r w:rsidRPr="00825B15">
        <w:rPr>
          <w:rFonts w:ascii="Verdana" w:hAnsi="Verdana"/>
          <w:sz w:val="20"/>
          <w:szCs w:val="20"/>
        </w:rPr>
        <w:t>Tener como fecha de modificación aquella en la cual se formalizó el acuerdo en el cual se consignan las nuevas condiciones del crédito</w:t>
      </w:r>
      <w:r w:rsidR="007B570D">
        <w:rPr>
          <w:rFonts w:ascii="Verdana" w:hAnsi="Verdana"/>
          <w:sz w:val="20"/>
          <w:szCs w:val="20"/>
        </w:rPr>
        <w:t>.</w:t>
      </w:r>
    </w:p>
    <w:p w14:paraId="57098D1A" w14:textId="77777777" w:rsidR="007B570D" w:rsidRPr="007B570D" w:rsidRDefault="007B570D" w:rsidP="00766CA6">
      <w:pPr>
        <w:pStyle w:val="Prrafodelista"/>
        <w:jc w:val="both"/>
        <w:rPr>
          <w:rFonts w:ascii="Verdana" w:hAnsi="Verdana"/>
          <w:sz w:val="20"/>
          <w:szCs w:val="20"/>
        </w:rPr>
      </w:pPr>
    </w:p>
    <w:p w14:paraId="2C9B6692" w14:textId="77777777" w:rsidR="00E12A3E" w:rsidRDefault="00C951F7" w:rsidP="00766CA6">
      <w:pPr>
        <w:pStyle w:val="Prrafodelista"/>
        <w:numPr>
          <w:ilvl w:val="0"/>
          <w:numId w:val="2"/>
        </w:numPr>
        <w:ind w:left="284" w:hanging="284"/>
        <w:jc w:val="both"/>
        <w:rPr>
          <w:rFonts w:ascii="Verdana" w:hAnsi="Verdana"/>
          <w:b/>
          <w:bCs/>
          <w:sz w:val="20"/>
          <w:szCs w:val="20"/>
        </w:rPr>
      </w:pPr>
      <w:r w:rsidRPr="00C951F7">
        <w:rPr>
          <w:rFonts w:ascii="Verdana" w:hAnsi="Verdana"/>
          <w:b/>
          <w:bCs/>
          <w:sz w:val="20"/>
          <w:szCs w:val="20"/>
        </w:rPr>
        <w:t>Recuperación</w:t>
      </w:r>
    </w:p>
    <w:p w14:paraId="1D814DE6" w14:textId="2AF2D188" w:rsidR="00E12A3E" w:rsidRPr="00E12A3E" w:rsidRDefault="00E12A3E" w:rsidP="00766CA6">
      <w:pPr>
        <w:spacing w:after="0"/>
        <w:jc w:val="both"/>
        <w:rPr>
          <w:rFonts w:ascii="Verdana" w:hAnsi="Verdana"/>
          <w:sz w:val="20"/>
          <w:szCs w:val="20"/>
        </w:rPr>
      </w:pPr>
      <w:r w:rsidRPr="00E12A3E">
        <w:rPr>
          <w:rFonts w:ascii="Verdana" w:hAnsi="Verdana"/>
          <w:sz w:val="20"/>
          <w:szCs w:val="20"/>
        </w:rPr>
        <w:t>1.1.2.5</w:t>
      </w:r>
      <w:r>
        <w:rPr>
          <w:rFonts w:ascii="Verdana" w:hAnsi="Verdana"/>
          <w:sz w:val="20"/>
          <w:szCs w:val="20"/>
        </w:rPr>
        <w:t>2</w:t>
      </w:r>
      <w:r w:rsidRPr="00E12A3E">
        <w:rPr>
          <w:rFonts w:ascii="Verdana" w:hAnsi="Verdana"/>
          <w:sz w:val="20"/>
          <w:szCs w:val="20"/>
        </w:rPr>
        <w:t>.</w:t>
      </w:r>
    </w:p>
    <w:p w14:paraId="72016F37" w14:textId="512584BE" w:rsidR="00E12A3E" w:rsidRPr="00E12A3E" w:rsidRDefault="00E12A3E" w:rsidP="00766CA6">
      <w:pPr>
        <w:jc w:val="both"/>
        <w:rPr>
          <w:rFonts w:ascii="Verdana" w:hAnsi="Verdana"/>
          <w:sz w:val="20"/>
          <w:szCs w:val="20"/>
        </w:rPr>
      </w:pPr>
      <w:r w:rsidRPr="00E12A3E">
        <w:rPr>
          <w:rFonts w:ascii="Verdana" w:hAnsi="Verdana"/>
          <w:sz w:val="20"/>
          <w:szCs w:val="20"/>
        </w:rPr>
        <w:t xml:space="preserve">La entidad debe contar con políticas y procedimientos aprobados por la JD y ejecutados por la administración de </w:t>
      </w:r>
      <w:proofErr w:type="gramStart"/>
      <w:r w:rsidRPr="00E12A3E">
        <w:rPr>
          <w:rFonts w:ascii="Verdana" w:hAnsi="Verdana"/>
          <w:sz w:val="20"/>
          <w:szCs w:val="20"/>
        </w:rPr>
        <w:t>la misma</w:t>
      </w:r>
      <w:proofErr w:type="gramEnd"/>
      <w:r w:rsidRPr="00E12A3E">
        <w:rPr>
          <w:rFonts w:ascii="Verdana" w:hAnsi="Verdana"/>
          <w:sz w:val="20"/>
          <w:szCs w:val="20"/>
        </w:rPr>
        <w:t xml:space="preserve"> que le permitan tomar oportunamente medidas para enfrentar incumplimientos con el objeto de maximizar la recuperación de créditos no atendidos normalmente y minimizar las pérdidas. Tales procesos deben identificar los responsables de su desarrollo, así como los criterios con base en los cuales se ejecutan las labores de cobranza, </w:t>
      </w:r>
      <w:r w:rsidRPr="00EE207C">
        <w:rPr>
          <w:rFonts w:ascii="Verdana" w:hAnsi="Verdana"/>
          <w:sz w:val="20"/>
          <w:szCs w:val="20"/>
        </w:rPr>
        <w:t>se evalúan y deciden reestructuraciones,</w:t>
      </w:r>
      <w:r w:rsidRPr="00E12A3E">
        <w:rPr>
          <w:rFonts w:ascii="Verdana" w:hAnsi="Verdana"/>
          <w:sz w:val="20"/>
          <w:szCs w:val="20"/>
        </w:rPr>
        <w:t xml:space="preserve"> se administra el proceso de recepción y realización de bienes recibidos a título de dación en pago y se decide el castigo de los créditos.</w:t>
      </w:r>
    </w:p>
    <w:p w14:paraId="480C6731" w14:textId="4DAD6F49" w:rsidR="00E12A3E" w:rsidRPr="00E12A3E" w:rsidRDefault="00E12A3E" w:rsidP="00766CA6">
      <w:pPr>
        <w:spacing w:after="0"/>
        <w:jc w:val="both"/>
        <w:rPr>
          <w:rFonts w:ascii="Verdana" w:hAnsi="Verdana"/>
          <w:sz w:val="20"/>
          <w:szCs w:val="20"/>
        </w:rPr>
      </w:pPr>
      <w:r w:rsidRPr="00E12A3E">
        <w:rPr>
          <w:rFonts w:ascii="Verdana" w:hAnsi="Verdana"/>
          <w:sz w:val="20"/>
          <w:szCs w:val="20"/>
        </w:rPr>
        <w:t>1.1.2.5</w:t>
      </w:r>
      <w:r>
        <w:rPr>
          <w:rFonts w:ascii="Verdana" w:hAnsi="Verdana"/>
          <w:sz w:val="20"/>
          <w:szCs w:val="20"/>
        </w:rPr>
        <w:t>3</w:t>
      </w:r>
      <w:r w:rsidRPr="00E12A3E">
        <w:rPr>
          <w:rFonts w:ascii="Verdana" w:hAnsi="Verdana"/>
          <w:sz w:val="20"/>
          <w:szCs w:val="20"/>
        </w:rPr>
        <w:t>.</w:t>
      </w:r>
    </w:p>
    <w:p w14:paraId="2F9BE7D0" w14:textId="77777777" w:rsidR="00E12A3E" w:rsidRDefault="00E12A3E" w:rsidP="00766CA6">
      <w:pPr>
        <w:jc w:val="both"/>
        <w:rPr>
          <w:rFonts w:ascii="Verdana" w:hAnsi="Verdana"/>
          <w:sz w:val="20"/>
          <w:szCs w:val="20"/>
        </w:rPr>
      </w:pPr>
      <w:r w:rsidRPr="00E12A3E">
        <w:rPr>
          <w:rFonts w:ascii="Verdana" w:hAnsi="Verdana"/>
          <w:sz w:val="20"/>
          <w:szCs w:val="20"/>
        </w:rPr>
        <w:t>Estas políticas y procedimientos deben ser diseñadas con base en la historia de recuperaciones y las variables críticas que determinan la minimización de las pérdidas. La información sobre los resultados de la implementación de estas políticas y procedimientos debe servir como insumo para el afinamiento de los modelos desarrollados para el monitoreo y estimación de pérdidas.</w:t>
      </w:r>
    </w:p>
    <w:p w14:paraId="27B1E509" w14:textId="23692FF6" w:rsidR="00CA5D62" w:rsidRDefault="00F50F84" w:rsidP="00766CA6">
      <w:pPr>
        <w:pStyle w:val="Prrafodelista"/>
        <w:numPr>
          <w:ilvl w:val="0"/>
          <w:numId w:val="6"/>
        </w:numPr>
        <w:ind w:left="567" w:hanging="283"/>
        <w:jc w:val="both"/>
        <w:rPr>
          <w:rFonts w:ascii="Verdana" w:hAnsi="Verdana"/>
          <w:b/>
          <w:bCs/>
          <w:sz w:val="20"/>
          <w:szCs w:val="20"/>
        </w:rPr>
      </w:pPr>
      <w:r w:rsidRPr="00F50F84">
        <w:rPr>
          <w:rFonts w:ascii="Verdana" w:hAnsi="Verdana"/>
          <w:b/>
          <w:bCs/>
          <w:sz w:val="20"/>
          <w:szCs w:val="20"/>
        </w:rPr>
        <w:t>Reestructuración de créditos</w:t>
      </w:r>
    </w:p>
    <w:p w14:paraId="3B2A9BFA" w14:textId="34A51213" w:rsidR="00CA5D62" w:rsidRPr="00CA5D62" w:rsidRDefault="00CA5D62" w:rsidP="00766CA6">
      <w:pPr>
        <w:spacing w:after="0"/>
        <w:jc w:val="both"/>
        <w:rPr>
          <w:rFonts w:ascii="Verdana" w:hAnsi="Verdana"/>
          <w:sz w:val="20"/>
          <w:szCs w:val="20"/>
        </w:rPr>
      </w:pPr>
      <w:r w:rsidRPr="00CA5D62">
        <w:rPr>
          <w:rFonts w:ascii="Verdana" w:hAnsi="Verdana"/>
          <w:sz w:val="20"/>
          <w:szCs w:val="20"/>
        </w:rPr>
        <w:t>1.1.2.5</w:t>
      </w:r>
      <w:r>
        <w:rPr>
          <w:rFonts w:ascii="Verdana" w:hAnsi="Verdana"/>
          <w:sz w:val="20"/>
          <w:szCs w:val="20"/>
        </w:rPr>
        <w:t>4</w:t>
      </w:r>
      <w:r w:rsidRPr="00CA5D62">
        <w:rPr>
          <w:rFonts w:ascii="Verdana" w:hAnsi="Verdana"/>
          <w:sz w:val="20"/>
          <w:szCs w:val="20"/>
        </w:rPr>
        <w:t>.</w:t>
      </w:r>
    </w:p>
    <w:p w14:paraId="2B8EAE3F" w14:textId="124A15BE" w:rsidR="00CA5D62" w:rsidRDefault="00CA5D62" w:rsidP="00766CA6">
      <w:pPr>
        <w:jc w:val="both"/>
        <w:rPr>
          <w:rFonts w:ascii="Verdana" w:hAnsi="Verdana"/>
          <w:sz w:val="20"/>
          <w:szCs w:val="20"/>
        </w:rPr>
      </w:pPr>
      <w:r w:rsidRPr="00CA5D62">
        <w:rPr>
          <w:rFonts w:ascii="Verdana" w:hAnsi="Verdana"/>
          <w:sz w:val="20"/>
          <w:szCs w:val="20"/>
        </w:rPr>
        <w:t xml:space="preserve">Para efectos del presente capítulo se entiende por reestructuración de un crédito cualquier mecanismo excepcional, instrumentado mediante la celebración y/o ejecución de cualquier negocio jurídico, que tenga por objeto modificar las condiciones originalmente pactadas con el fin de permitirle al deudor la atención adecuada de su obligación ante el real deterioro de su capacidad de pago. Adicionalmente se consideran reestructuraciones los acuerdos celebrados en el marco de las Leyes 550 de 1999, 617 de 2000, 1116 de 2006 y 1564 de 2012 o normas que las adicionen o sustituyan, así como las reestructuraciones extraordinarias. </w:t>
      </w:r>
    </w:p>
    <w:p w14:paraId="084182C8" w14:textId="0B704DCB" w:rsidR="00CA5D62" w:rsidRPr="00CA5D62" w:rsidRDefault="00CA5D62" w:rsidP="00766CA6">
      <w:pPr>
        <w:spacing w:after="0"/>
        <w:jc w:val="both"/>
        <w:rPr>
          <w:rFonts w:ascii="Verdana" w:hAnsi="Verdana"/>
          <w:sz w:val="20"/>
          <w:szCs w:val="20"/>
        </w:rPr>
      </w:pPr>
      <w:r w:rsidRPr="00CA5D62">
        <w:rPr>
          <w:rFonts w:ascii="Verdana" w:hAnsi="Verdana"/>
          <w:sz w:val="20"/>
          <w:szCs w:val="20"/>
        </w:rPr>
        <w:t>1.1.2.5</w:t>
      </w:r>
      <w:r w:rsidR="004152AA">
        <w:rPr>
          <w:rFonts w:ascii="Verdana" w:hAnsi="Verdana"/>
          <w:sz w:val="20"/>
          <w:szCs w:val="20"/>
        </w:rPr>
        <w:t>5</w:t>
      </w:r>
      <w:r w:rsidRPr="00CA5D62">
        <w:rPr>
          <w:rFonts w:ascii="Verdana" w:hAnsi="Verdana"/>
          <w:sz w:val="20"/>
          <w:szCs w:val="20"/>
        </w:rPr>
        <w:t>.</w:t>
      </w:r>
    </w:p>
    <w:p w14:paraId="1941F935" w14:textId="6FEBE9FD" w:rsidR="00CA5D62" w:rsidRPr="00CA5D62" w:rsidRDefault="00CA5D62" w:rsidP="00766CA6">
      <w:pPr>
        <w:jc w:val="both"/>
        <w:rPr>
          <w:rFonts w:ascii="Verdana" w:hAnsi="Verdana"/>
          <w:sz w:val="20"/>
          <w:szCs w:val="20"/>
        </w:rPr>
      </w:pPr>
      <w:r w:rsidRPr="00CA5D62">
        <w:rPr>
          <w:rFonts w:ascii="Verdana" w:hAnsi="Verdana"/>
          <w:sz w:val="20"/>
          <w:szCs w:val="20"/>
        </w:rPr>
        <w:t xml:space="preserve">No se considerarán reestructuraciones los alivios crediticios ordenados por leyes ni las novaciones que se originen en eventos distintos a los antes descritos, aquellas previstas en el artículo 20 de la Ley 546 de 1999, </w:t>
      </w:r>
      <w:r w:rsidR="006134B1">
        <w:rPr>
          <w:rFonts w:ascii="Verdana" w:hAnsi="Verdana"/>
          <w:sz w:val="20"/>
          <w:szCs w:val="20"/>
        </w:rPr>
        <w:t xml:space="preserve">y </w:t>
      </w:r>
      <w:r w:rsidRPr="00CA5D62">
        <w:rPr>
          <w:rFonts w:ascii="Verdana" w:hAnsi="Verdana"/>
          <w:sz w:val="20"/>
          <w:szCs w:val="20"/>
        </w:rPr>
        <w:t xml:space="preserve">aquellas modificaciones originadas bajo los criterios </w:t>
      </w:r>
      <w:r w:rsidR="004613C9">
        <w:rPr>
          <w:rFonts w:ascii="Verdana" w:hAnsi="Verdana"/>
          <w:sz w:val="20"/>
          <w:szCs w:val="20"/>
        </w:rPr>
        <w:t>de los párrafos 1.1.2.</w:t>
      </w:r>
      <w:r w:rsidR="008B553C">
        <w:rPr>
          <w:rFonts w:ascii="Verdana" w:hAnsi="Verdana"/>
          <w:sz w:val="20"/>
          <w:szCs w:val="20"/>
        </w:rPr>
        <w:t>50. y 1.1.2.51.</w:t>
      </w:r>
    </w:p>
    <w:p w14:paraId="4D67A5FB" w14:textId="36CC7AFA" w:rsidR="00CA5D62" w:rsidRPr="00CA5D62" w:rsidRDefault="00CA5D62" w:rsidP="00766CA6">
      <w:pPr>
        <w:spacing w:after="0"/>
        <w:jc w:val="both"/>
        <w:rPr>
          <w:rFonts w:ascii="Verdana" w:hAnsi="Verdana"/>
          <w:sz w:val="20"/>
          <w:szCs w:val="20"/>
        </w:rPr>
      </w:pPr>
      <w:r w:rsidRPr="00CA5D62">
        <w:rPr>
          <w:rFonts w:ascii="Verdana" w:hAnsi="Verdana"/>
          <w:sz w:val="20"/>
          <w:szCs w:val="20"/>
        </w:rPr>
        <w:t>1.1.2.5</w:t>
      </w:r>
      <w:r w:rsidR="004152AA">
        <w:rPr>
          <w:rFonts w:ascii="Verdana" w:hAnsi="Verdana"/>
          <w:sz w:val="20"/>
          <w:szCs w:val="20"/>
        </w:rPr>
        <w:t>6</w:t>
      </w:r>
      <w:r w:rsidRPr="00CA5D62">
        <w:rPr>
          <w:rFonts w:ascii="Verdana" w:hAnsi="Verdana"/>
          <w:sz w:val="20"/>
          <w:szCs w:val="20"/>
        </w:rPr>
        <w:t>.</w:t>
      </w:r>
    </w:p>
    <w:p w14:paraId="53AD4094" w14:textId="0C060D7B" w:rsidR="00CA5D62" w:rsidRPr="00CA5D62" w:rsidRDefault="00CA5D62" w:rsidP="00766CA6">
      <w:pPr>
        <w:jc w:val="both"/>
        <w:rPr>
          <w:rFonts w:ascii="Verdana" w:hAnsi="Verdana"/>
          <w:sz w:val="20"/>
          <w:szCs w:val="20"/>
        </w:rPr>
      </w:pPr>
      <w:r w:rsidRPr="00CA5D62">
        <w:rPr>
          <w:rFonts w:ascii="Verdana" w:hAnsi="Verdana"/>
          <w:sz w:val="20"/>
          <w:szCs w:val="20"/>
        </w:rPr>
        <w:t xml:space="preserve">Las reestructuraciones no </w:t>
      </w:r>
      <w:r w:rsidR="006134B1">
        <w:rPr>
          <w:rFonts w:ascii="Verdana" w:hAnsi="Verdana"/>
          <w:sz w:val="20"/>
          <w:szCs w:val="20"/>
        </w:rPr>
        <w:t xml:space="preserve">se </w:t>
      </w:r>
      <w:r w:rsidRPr="00CA5D62">
        <w:rPr>
          <w:rFonts w:ascii="Verdana" w:hAnsi="Verdana"/>
          <w:sz w:val="20"/>
          <w:szCs w:val="20"/>
        </w:rPr>
        <w:t>pueden convertir en una práctica generalizada para regularizar el comportamiento de la cartera de créditos y las mismas no podrán fundamentarse en el uso excesivo de periodos de gracia</w:t>
      </w:r>
      <w:r w:rsidR="003B6205">
        <w:rPr>
          <w:rFonts w:ascii="Verdana" w:hAnsi="Verdana"/>
          <w:sz w:val="20"/>
          <w:szCs w:val="20"/>
        </w:rPr>
        <w:t>, según las condiciones de cada deudor y/</w:t>
      </w:r>
      <w:proofErr w:type="spellStart"/>
      <w:r w:rsidR="003B6205">
        <w:rPr>
          <w:rFonts w:ascii="Verdana" w:hAnsi="Verdana"/>
          <w:sz w:val="20"/>
          <w:szCs w:val="20"/>
        </w:rPr>
        <w:t>o</w:t>
      </w:r>
      <w:proofErr w:type="spellEnd"/>
      <w:r w:rsidR="003B6205">
        <w:rPr>
          <w:rFonts w:ascii="Verdana" w:hAnsi="Verdana"/>
          <w:sz w:val="20"/>
          <w:szCs w:val="20"/>
        </w:rPr>
        <w:t xml:space="preserve"> obligación</w:t>
      </w:r>
      <w:r w:rsidRPr="00CA5D62">
        <w:rPr>
          <w:rFonts w:ascii="Verdana" w:hAnsi="Verdana"/>
          <w:sz w:val="20"/>
          <w:szCs w:val="20"/>
        </w:rPr>
        <w:t>.</w:t>
      </w:r>
    </w:p>
    <w:p w14:paraId="556839D3" w14:textId="68EF0D1B" w:rsidR="004152AA" w:rsidRPr="00CA5D62" w:rsidRDefault="004152AA" w:rsidP="00766CA6">
      <w:pPr>
        <w:spacing w:after="0"/>
        <w:jc w:val="both"/>
        <w:rPr>
          <w:rFonts w:ascii="Verdana" w:hAnsi="Verdana"/>
          <w:sz w:val="20"/>
          <w:szCs w:val="20"/>
        </w:rPr>
      </w:pPr>
      <w:r w:rsidRPr="00CA5D62">
        <w:rPr>
          <w:rFonts w:ascii="Verdana" w:hAnsi="Verdana"/>
          <w:sz w:val="20"/>
          <w:szCs w:val="20"/>
        </w:rPr>
        <w:t>1.1.2.5</w:t>
      </w:r>
      <w:r>
        <w:rPr>
          <w:rFonts w:ascii="Verdana" w:hAnsi="Verdana"/>
          <w:sz w:val="20"/>
          <w:szCs w:val="20"/>
        </w:rPr>
        <w:t>7</w:t>
      </w:r>
      <w:r w:rsidRPr="00CA5D62">
        <w:rPr>
          <w:rFonts w:ascii="Verdana" w:hAnsi="Verdana"/>
          <w:sz w:val="20"/>
          <w:szCs w:val="20"/>
        </w:rPr>
        <w:t>.</w:t>
      </w:r>
    </w:p>
    <w:p w14:paraId="7B5BCF03" w14:textId="77777777" w:rsidR="00AF2980" w:rsidRDefault="00CA5D62" w:rsidP="00766CA6">
      <w:pPr>
        <w:jc w:val="both"/>
        <w:rPr>
          <w:rFonts w:ascii="Verdana" w:hAnsi="Verdana"/>
          <w:sz w:val="20"/>
          <w:szCs w:val="20"/>
        </w:rPr>
      </w:pPr>
      <w:r w:rsidRPr="00CA5D62">
        <w:rPr>
          <w:rFonts w:ascii="Verdana" w:hAnsi="Verdana"/>
          <w:sz w:val="20"/>
          <w:szCs w:val="20"/>
        </w:rPr>
        <w:t>Para la adecuada reestructuración de los créditos la entidad debe contar con políticas que definan como mínimo lo siguiente:</w:t>
      </w:r>
    </w:p>
    <w:p w14:paraId="67A8B253" w14:textId="77777777" w:rsidR="00177E41" w:rsidRDefault="00AF2980" w:rsidP="00766CA6">
      <w:pPr>
        <w:pStyle w:val="Prrafodelista"/>
        <w:numPr>
          <w:ilvl w:val="0"/>
          <w:numId w:val="20"/>
        </w:numPr>
        <w:ind w:left="567" w:hanging="567"/>
        <w:jc w:val="both"/>
        <w:rPr>
          <w:rFonts w:ascii="Verdana" w:hAnsi="Verdana"/>
          <w:sz w:val="20"/>
          <w:szCs w:val="20"/>
        </w:rPr>
      </w:pPr>
      <w:r w:rsidRPr="00177E41">
        <w:rPr>
          <w:rFonts w:ascii="Verdana" w:hAnsi="Verdana"/>
          <w:sz w:val="20"/>
          <w:szCs w:val="20"/>
        </w:rPr>
        <w:lastRenderedPageBreak/>
        <w:t>Los requisitos y criterios para que un deudor pueda ser sujeto de reestructuración, los cuales deben guardar relación con los niveles de tolerancia al riesgo y el plan de negocio definidos por la entidad.</w:t>
      </w:r>
    </w:p>
    <w:p w14:paraId="75A8144F" w14:textId="77777777" w:rsidR="00177E41" w:rsidRDefault="00177E41" w:rsidP="00766CA6">
      <w:pPr>
        <w:pStyle w:val="Prrafodelista"/>
        <w:ind w:left="567"/>
        <w:jc w:val="both"/>
        <w:rPr>
          <w:rFonts w:ascii="Verdana" w:hAnsi="Verdana"/>
          <w:sz w:val="20"/>
          <w:szCs w:val="20"/>
        </w:rPr>
      </w:pPr>
    </w:p>
    <w:p w14:paraId="7477FB73" w14:textId="77777777" w:rsidR="00177E41" w:rsidRDefault="00AF2980" w:rsidP="00766CA6">
      <w:pPr>
        <w:pStyle w:val="Prrafodelista"/>
        <w:numPr>
          <w:ilvl w:val="0"/>
          <w:numId w:val="20"/>
        </w:numPr>
        <w:ind w:left="567" w:hanging="567"/>
        <w:jc w:val="both"/>
        <w:rPr>
          <w:rFonts w:ascii="Verdana" w:hAnsi="Verdana"/>
          <w:sz w:val="20"/>
          <w:szCs w:val="20"/>
        </w:rPr>
      </w:pPr>
      <w:r w:rsidRPr="00177E41">
        <w:rPr>
          <w:rFonts w:ascii="Verdana" w:hAnsi="Verdana"/>
          <w:sz w:val="20"/>
          <w:szCs w:val="20"/>
        </w:rPr>
        <w:t xml:space="preserve">Los mecanismos que se implementarán para la identificación y monitoreo de las operaciones reestructuradas, incluida la calificación de riesgo de </w:t>
      </w:r>
      <w:proofErr w:type="gramStart"/>
      <w:r w:rsidRPr="00177E41">
        <w:rPr>
          <w:rFonts w:ascii="Verdana" w:hAnsi="Verdana"/>
          <w:sz w:val="20"/>
          <w:szCs w:val="20"/>
        </w:rPr>
        <w:t>las mismas</w:t>
      </w:r>
      <w:proofErr w:type="gramEnd"/>
      <w:r w:rsidRPr="00177E41">
        <w:rPr>
          <w:rFonts w:ascii="Verdana" w:hAnsi="Verdana"/>
          <w:sz w:val="20"/>
          <w:szCs w:val="20"/>
        </w:rPr>
        <w:t>.</w:t>
      </w:r>
    </w:p>
    <w:p w14:paraId="39F64E6F" w14:textId="77777777" w:rsidR="00177E41" w:rsidRPr="00177E41" w:rsidRDefault="00177E41" w:rsidP="00766CA6">
      <w:pPr>
        <w:pStyle w:val="Prrafodelista"/>
        <w:jc w:val="both"/>
        <w:rPr>
          <w:rFonts w:ascii="Verdana" w:hAnsi="Verdana"/>
          <w:sz w:val="20"/>
          <w:szCs w:val="20"/>
        </w:rPr>
      </w:pPr>
    </w:p>
    <w:p w14:paraId="5AD54FF3" w14:textId="77777777" w:rsidR="00177E41" w:rsidRDefault="00AF2980" w:rsidP="00766CA6">
      <w:pPr>
        <w:pStyle w:val="Prrafodelista"/>
        <w:numPr>
          <w:ilvl w:val="0"/>
          <w:numId w:val="20"/>
        </w:numPr>
        <w:ind w:left="567" w:hanging="567"/>
        <w:jc w:val="both"/>
        <w:rPr>
          <w:rFonts w:ascii="Verdana" w:hAnsi="Verdana"/>
          <w:sz w:val="20"/>
          <w:szCs w:val="20"/>
        </w:rPr>
      </w:pPr>
      <w:r w:rsidRPr="00177E41">
        <w:rPr>
          <w:rFonts w:ascii="Verdana" w:hAnsi="Verdana"/>
          <w:sz w:val="20"/>
          <w:szCs w:val="20"/>
        </w:rPr>
        <w:t>Los órganos que al interior de la entidad analizarán y tomarán las decisiones de aprobación de reestructuración, sus responsabilidades y atribuciones, así como su nivel de independencia respecto de las áreas responsables del otorgamiento.</w:t>
      </w:r>
    </w:p>
    <w:p w14:paraId="44690846" w14:textId="77777777" w:rsidR="00177E41" w:rsidRPr="00177E41" w:rsidRDefault="00177E41" w:rsidP="00766CA6">
      <w:pPr>
        <w:pStyle w:val="Prrafodelista"/>
        <w:jc w:val="both"/>
        <w:rPr>
          <w:rFonts w:ascii="Verdana" w:hAnsi="Verdana"/>
          <w:sz w:val="20"/>
          <w:szCs w:val="20"/>
        </w:rPr>
      </w:pPr>
    </w:p>
    <w:p w14:paraId="572A6E95" w14:textId="77777777" w:rsidR="00177E41" w:rsidRDefault="00AF2980" w:rsidP="00766CA6">
      <w:pPr>
        <w:pStyle w:val="Prrafodelista"/>
        <w:numPr>
          <w:ilvl w:val="0"/>
          <w:numId w:val="20"/>
        </w:numPr>
        <w:ind w:left="567" w:hanging="567"/>
        <w:jc w:val="both"/>
        <w:rPr>
          <w:rFonts w:ascii="Verdana" w:hAnsi="Verdana"/>
          <w:sz w:val="20"/>
          <w:szCs w:val="20"/>
        </w:rPr>
      </w:pPr>
      <w:r w:rsidRPr="00177E41">
        <w:rPr>
          <w:rFonts w:ascii="Verdana" w:hAnsi="Verdana"/>
          <w:sz w:val="20"/>
          <w:szCs w:val="20"/>
        </w:rPr>
        <w:t>Las consecuencias del incumplimiento de las políticas de reestructuración.</w:t>
      </w:r>
    </w:p>
    <w:p w14:paraId="11E12F0F" w14:textId="77777777" w:rsidR="00177E41" w:rsidRPr="00177E41" w:rsidRDefault="00177E41" w:rsidP="00766CA6">
      <w:pPr>
        <w:pStyle w:val="Prrafodelista"/>
        <w:jc w:val="both"/>
        <w:rPr>
          <w:rFonts w:ascii="Verdana" w:hAnsi="Verdana"/>
          <w:sz w:val="20"/>
          <w:szCs w:val="20"/>
        </w:rPr>
      </w:pPr>
    </w:p>
    <w:p w14:paraId="1901F6BB" w14:textId="6D7C5DE1" w:rsidR="00AF2980" w:rsidRPr="00177E41" w:rsidRDefault="00AF2980" w:rsidP="00766CA6">
      <w:pPr>
        <w:pStyle w:val="Prrafodelista"/>
        <w:numPr>
          <w:ilvl w:val="0"/>
          <w:numId w:val="20"/>
        </w:numPr>
        <w:ind w:left="567" w:hanging="567"/>
        <w:jc w:val="both"/>
        <w:rPr>
          <w:rFonts w:ascii="Verdana" w:hAnsi="Verdana"/>
          <w:sz w:val="20"/>
          <w:szCs w:val="20"/>
        </w:rPr>
      </w:pPr>
      <w:r w:rsidRPr="00177E41">
        <w:rPr>
          <w:rFonts w:ascii="Verdana" w:hAnsi="Verdana"/>
          <w:sz w:val="20"/>
          <w:szCs w:val="20"/>
        </w:rPr>
        <w:t>Los mecanismos mediante los cuales se divulgará al consumidor las condiciones para acceder a una reestructuración.</w:t>
      </w:r>
    </w:p>
    <w:p w14:paraId="0EF07F8A" w14:textId="2C7C12B5" w:rsidR="00B61B36" w:rsidRPr="00B61B36" w:rsidRDefault="00B61B36" w:rsidP="00766CA6">
      <w:pPr>
        <w:spacing w:after="0"/>
        <w:jc w:val="both"/>
        <w:rPr>
          <w:rFonts w:ascii="Verdana" w:hAnsi="Verdana"/>
          <w:sz w:val="20"/>
          <w:szCs w:val="20"/>
        </w:rPr>
      </w:pPr>
      <w:r w:rsidRPr="00B61B36">
        <w:rPr>
          <w:rFonts w:ascii="Verdana" w:hAnsi="Verdana"/>
          <w:sz w:val="20"/>
          <w:szCs w:val="20"/>
        </w:rPr>
        <w:t>1.1.2.5</w:t>
      </w:r>
      <w:r w:rsidR="00411569">
        <w:rPr>
          <w:rFonts w:ascii="Verdana" w:hAnsi="Verdana"/>
          <w:sz w:val="20"/>
          <w:szCs w:val="20"/>
        </w:rPr>
        <w:t>8</w:t>
      </w:r>
      <w:r w:rsidRPr="00B61B36">
        <w:rPr>
          <w:rFonts w:ascii="Verdana" w:hAnsi="Verdana"/>
          <w:sz w:val="20"/>
          <w:szCs w:val="20"/>
        </w:rPr>
        <w:t>.</w:t>
      </w:r>
    </w:p>
    <w:p w14:paraId="25D32E4E" w14:textId="48CC7917" w:rsidR="00AF2980" w:rsidRPr="00AF2980" w:rsidRDefault="00AF2980" w:rsidP="00766CA6">
      <w:pPr>
        <w:jc w:val="both"/>
        <w:rPr>
          <w:rFonts w:ascii="Verdana" w:hAnsi="Verdana"/>
          <w:sz w:val="20"/>
          <w:szCs w:val="20"/>
        </w:rPr>
      </w:pPr>
      <w:r w:rsidRPr="00AF2980">
        <w:rPr>
          <w:rFonts w:ascii="Verdana" w:hAnsi="Verdana"/>
          <w:sz w:val="20"/>
          <w:szCs w:val="20"/>
        </w:rPr>
        <w:t>Adicionalmente la entidad debe contar, al menos, con procedimientos que le permitan:</w:t>
      </w:r>
    </w:p>
    <w:p w14:paraId="098BA857" w14:textId="77777777" w:rsidR="003B0A73" w:rsidRDefault="003B0A73" w:rsidP="00766CA6">
      <w:pPr>
        <w:pStyle w:val="Prrafodelista"/>
        <w:numPr>
          <w:ilvl w:val="0"/>
          <w:numId w:val="21"/>
        </w:numPr>
        <w:ind w:left="567" w:hanging="567"/>
        <w:jc w:val="both"/>
        <w:rPr>
          <w:rFonts w:ascii="Verdana" w:hAnsi="Verdana"/>
          <w:sz w:val="20"/>
          <w:szCs w:val="20"/>
        </w:rPr>
      </w:pPr>
      <w:r w:rsidRPr="003B0A73">
        <w:rPr>
          <w:rFonts w:ascii="Verdana" w:hAnsi="Verdana"/>
          <w:sz w:val="20"/>
          <w:szCs w:val="20"/>
        </w:rPr>
        <w:t xml:space="preserve">Realizar el correcto análisis de las condiciones del deudor que lleven a la entidad a verificar que éste presenta un real deterioro en su capacidad de pago, de acuerdo con las condiciones de </w:t>
      </w:r>
      <w:proofErr w:type="spellStart"/>
      <w:r w:rsidRPr="003B0A73">
        <w:rPr>
          <w:rFonts w:ascii="Verdana" w:hAnsi="Verdana"/>
          <w:sz w:val="20"/>
          <w:szCs w:val="20"/>
        </w:rPr>
        <w:t>originación</w:t>
      </w:r>
      <w:proofErr w:type="spellEnd"/>
      <w:r w:rsidRPr="003B0A73">
        <w:rPr>
          <w:rFonts w:ascii="Verdana" w:hAnsi="Verdana"/>
          <w:sz w:val="20"/>
          <w:szCs w:val="20"/>
        </w:rPr>
        <w:t xml:space="preserve"> del crédito.</w:t>
      </w:r>
    </w:p>
    <w:p w14:paraId="39E3E8BF" w14:textId="77777777" w:rsidR="003B0A73" w:rsidRDefault="003B0A73" w:rsidP="00766CA6">
      <w:pPr>
        <w:pStyle w:val="Prrafodelista"/>
        <w:ind w:left="567"/>
        <w:jc w:val="both"/>
        <w:rPr>
          <w:rFonts w:ascii="Verdana" w:hAnsi="Verdana"/>
          <w:sz w:val="20"/>
          <w:szCs w:val="20"/>
        </w:rPr>
      </w:pPr>
    </w:p>
    <w:p w14:paraId="78EAF90C" w14:textId="081FF6CC" w:rsidR="003B0A73" w:rsidRDefault="003B0A73" w:rsidP="00766CA6">
      <w:pPr>
        <w:pStyle w:val="Prrafodelista"/>
        <w:numPr>
          <w:ilvl w:val="0"/>
          <w:numId w:val="21"/>
        </w:numPr>
        <w:ind w:left="567" w:hanging="567"/>
        <w:jc w:val="both"/>
        <w:rPr>
          <w:rFonts w:ascii="Verdana" w:hAnsi="Verdana"/>
          <w:sz w:val="20"/>
          <w:szCs w:val="20"/>
        </w:rPr>
      </w:pPr>
      <w:r w:rsidRPr="003B0A73">
        <w:rPr>
          <w:rFonts w:ascii="Verdana" w:hAnsi="Verdana"/>
          <w:sz w:val="20"/>
          <w:szCs w:val="20"/>
        </w:rPr>
        <w:t>Establecer la viabilidad financiera de la reestructuración, a partir del análisis de la capacidad de pago del deudor. Dicho análisis debe comprender, cuando menos, las instrucciones de</w:t>
      </w:r>
      <w:r w:rsidR="002C35BA">
        <w:rPr>
          <w:rFonts w:ascii="Verdana" w:hAnsi="Verdana"/>
          <w:sz w:val="20"/>
          <w:szCs w:val="20"/>
        </w:rPr>
        <w:t xml:space="preserve"> los párrafos 1.1.2.26. al 1.1.2.29.</w:t>
      </w:r>
    </w:p>
    <w:p w14:paraId="69613515" w14:textId="77777777" w:rsidR="003B0A73" w:rsidRPr="003B0A73" w:rsidRDefault="003B0A73" w:rsidP="00766CA6">
      <w:pPr>
        <w:pStyle w:val="Prrafodelista"/>
        <w:jc w:val="both"/>
        <w:rPr>
          <w:rFonts w:ascii="Verdana" w:hAnsi="Verdana"/>
          <w:sz w:val="20"/>
          <w:szCs w:val="20"/>
        </w:rPr>
      </w:pPr>
    </w:p>
    <w:p w14:paraId="6A32C019" w14:textId="00AEC947" w:rsidR="003B0A73" w:rsidRDefault="003B0A73" w:rsidP="00766CA6">
      <w:pPr>
        <w:pStyle w:val="Prrafodelista"/>
        <w:numPr>
          <w:ilvl w:val="0"/>
          <w:numId w:val="21"/>
        </w:numPr>
        <w:ind w:left="567" w:hanging="567"/>
        <w:jc w:val="both"/>
        <w:rPr>
          <w:rFonts w:ascii="Verdana" w:hAnsi="Verdana"/>
          <w:sz w:val="20"/>
          <w:szCs w:val="20"/>
        </w:rPr>
      </w:pPr>
      <w:r w:rsidRPr="003B0A73">
        <w:rPr>
          <w:rFonts w:ascii="Verdana" w:hAnsi="Verdana"/>
          <w:sz w:val="20"/>
          <w:szCs w:val="20"/>
        </w:rPr>
        <w:t xml:space="preserve">Calificar los créditos reestructurados de conformidad con las instrucciones del presente </w:t>
      </w:r>
      <w:r w:rsidR="00EB0DC4">
        <w:rPr>
          <w:rFonts w:ascii="Verdana" w:hAnsi="Verdana"/>
          <w:sz w:val="20"/>
          <w:szCs w:val="20"/>
        </w:rPr>
        <w:t>c</w:t>
      </w:r>
      <w:r w:rsidRPr="003B0A73">
        <w:rPr>
          <w:rFonts w:ascii="Verdana" w:hAnsi="Verdana"/>
          <w:sz w:val="20"/>
          <w:szCs w:val="20"/>
        </w:rPr>
        <w:t xml:space="preserve">apítulo y sus </w:t>
      </w:r>
      <w:r w:rsidR="00EB0DC4">
        <w:rPr>
          <w:rFonts w:ascii="Verdana" w:hAnsi="Verdana"/>
          <w:sz w:val="20"/>
          <w:szCs w:val="20"/>
        </w:rPr>
        <w:t>a</w:t>
      </w:r>
      <w:r w:rsidRPr="003B0A73">
        <w:rPr>
          <w:rFonts w:ascii="Verdana" w:hAnsi="Verdana"/>
          <w:sz w:val="20"/>
          <w:szCs w:val="20"/>
        </w:rPr>
        <w:t>nexos en relación con riesgo de crédito.</w:t>
      </w:r>
    </w:p>
    <w:p w14:paraId="380073BF" w14:textId="77777777" w:rsidR="003B0A73" w:rsidRPr="003B0A73" w:rsidRDefault="003B0A73" w:rsidP="00766CA6">
      <w:pPr>
        <w:pStyle w:val="Prrafodelista"/>
        <w:jc w:val="both"/>
        <w:rPr>
          <w:rFonts w:ascii="Verdana" w:hAnsi="Verdana"/>
          <w:sz w:val="20"/>
          <w:szCs w:val="20"/>
        </w:rPr>
      </w:pPr>
    </w:p>
    <w:p w14:paraId="6812FEB9" w14:textId="6290DB1D" w:rsidR="003B0A73" w:rsidRPr="003B0A73" w:rsidRDefault="003B0A73" w:rsidP="00766CA6">
      <w:pPr>
        <w:pStyle w:val="Prrafodelista"/>
        <w:numPr>
          <w:ilvl w:val="0"/>
          <w:numId w:val="21"/>
        </w:numPr>
        <w:ind w:left="567" w:hanging="567"/>
        <w:jc w:val="both"/>
        <w:rPr>
          <w:rFonts w:ascii="Verdana" w:hAnsi="Verdana"/>
          <w:sz w:val="20"/>
          <w:szCs w:val="20"/>
        </w:rPr>
      </w:pPr>
      <w:r w:rsidRPr="003B0A73">
        <w:rPr>
          <w:rFonts w:ascii="Verdana" w:hAnsi="Verdana"/>
          <w:sz w:val="20"/>
          <w:szCs w:val="20"/>
        </w:rPr>
        <w:t xml:space="preserve">Contar con sistemas de información que permitan la identificación y monitoreo de las operaciones reestructuradas, incluida la calificación de riesgo de </w:t>
      </w:r>
      <w:proofErr w:type="gramStart"/>
      <w:r w:rsidRPr="003B0A73">
        <w:rPr>
          <w:rFonts w:ascii="Verdana" w:hAnsi="Verdana"/>
          <w:sz w:val="20"/>
          <w:szCs w:val="20"/>
        </w:rPr>
        <w:t>las mismas</w:t>
      </w:r>
      <w:proofErr w:type="gramEnd"/>
      <w:r w:rsidRPr="003B0A73">
        <w:rPr>
          <w:rFonts w:ascii="Verdana" w:hAnsi="Verdana"/>
          <w:sz w:val="20"/>
          <w:szCs w:val="20"/>
        </w:rPr>
        <w:t>.</w:t>
      </w:r>
    </w:p>
    <w:p w14:paraId="4C692DA3" w14:textId="5AC3A1DE" w:rsidR="003B0A73" w:rsidRPr="00B61B36" w:rsidRDefault="003B0A73" w:rsidP="00766CA6">
      <w:pPr>
        <w:spacing w:after="0"/>
        <w:jc w:val="both"/>
        <w:rPr>
          <w:rFonts w:ascii="Verdana" w:hAnsi="Verdana"/>
          <w:sz w:val="20"/>
          <w:szCs w:val="20"/>
        </w:rPr>
      </w:pPr>
      <w:r w:rsidRPr="00B61B36">
        <w:rPr>
          <w:rFonts w:ascii="Verdana" w:hAnsi="Verdana"/>
          <w:sz w:val="20"/>
          <w:szCs w:val="20"/>
        </w:rPr>
        <w:t>1.1.2.5</w:t>
      </w:r>
      <w:r w:rsidR="00411569">
        <w:rPr>
          <w:rFonts w:ascii="Verdana" w:hAnsi="Verdana"/>
          <w:sz w:val="20"/>
          <w:szCs w:val="20"/>
        </w:rPr>
        <w:t>9</w:t>
      </w:r>
      <w:r w:rsidRPr="00B61B36">
        <w:rPr>
          <w:rFonts w:ascii="Verdana" w:hAnsi="Verdana"/>
          <w:sz w:val="20"/>
          <w:szCs w:val="20"/>
        </w:rPr>
        <w:t>.</w:t>
      </w:r>
    </w:p>
    <w:p w14:paraId="6DD88290" w14:textId="679E5E61" w:rsidR="001D5283" w:rsidRDefault="003B0A73" w:rsidP="00766CA6">
      <w:pPr>
        <w:jc w:val="both"/>
        <w:rPr>
          <w:rFonts w:ascii="Verdana" w:hAnsi="Verdana"/>
          <w:sz w:val="20"/>
          <w:szCs w:val="20"/>
        </w:rPr>
      </w:pPr>
      <w:r w:rsidRPr="003B0A73">
        <w:rPr>
          <w:rFonts w:ascii="Verdana" w:hAnsi="Verdana"/>
          <w:sz w:val="20"/>
          <w:szCs w:val="20"/>
        </w:rPr>
        <w:t>La entidad podrá eliminar la condición de reestructurado cuando el deudor efectúe pagos regulares y efectivos a capital e intereses por un período ininterrumpido de 12 meses para microcrédito y 24 meses para las demás modalidades</w:t>
      </w:r>
      <w:r w:rsidR="00460F32">
        <w:rPr>
          <w:rFonts w:ascii="Verdana" w:hAnsi="Verdana"/>
          <w:sz w:val="20"/>
          <w:szCs w:val="20"/>
        </w:rPr>
        <w:t xml:space="preserve"> de crédito</w:t>
      </w:r>
      <w:r w:rsidRPr="003B0A73">
        <w:rPr>
          <w:rFonts w:ascii="Verdana" w:hAnsi="Verdana"/>
          <w:sz w:val="20"/>
          <w:szCs w:val="20"/>
        </w:rPr>
        <w:t>.</w:t>
      </w:r>
    </w:p>
    <w:p w14:paraId="4F58FCCD" w14:textId="77777777" w:rsidR="00F94A1F" w:rsidRDefault="00F94A1F" w:rsidP="00003E6A">
      <w:pPr>
        <w:pStyle w:val="Prrafodelista"/>
        <w:numPr>
          <w:ilvl w:val="1"/>
          <w:numId w:val="6"/>
        </w:numPr>
        <w:ind w:left="851" w:hanging="284"/>
        <w:jc w:val="both"/>
        <w:rPr>
          <w:rFonts w:ascii="Verdana" w:hAnsi="Verdana"/>
          <w:b/>
          <w:bCs/>
          <w:sz w:val="20"/>
          <w:szCs w:val="20"/>
        </w:rPr>
      </w:pPr>
      <w:r w:rsidRPr="00F94A1F">
        <w:rPr>
          <w:rFonts w:ascii="Verdana" w:hAnsi="Verdana"/>
          <w:b/>
          <w:bCs/>
          <w:sz w:val="20"/>
          <w:szCs w:val="20"/>
        </w:rPr>
        <w:t>Calificación al momento de la reestructuración</w:t>
      </w:r>
    </w:p>
    <w:p w14:paraId="2226F219" w14:textId="4B3114BA" w:rsidR="00EE76BE" w:rsidRPr="00B61B36" w:rsidRDefault="00EE76BE" w:rsidP="00766CA6">
      <w:pPr>
        <w:spacing w:after="0"/>
        <w:jc w:val="both"/>
        <w:rPr>
          <w:rFonts w:ascii="Verdana" w:hAnsi="Verdana"/>
          <w:sz w:val="20"/>
          <w:szCs w:val="20"/>
        </w:rPr>
      </w:pPr>
      <w:r w:rsidRPr="00B61B36">
        <w:rPr>
          <w:rFonts w:ascii="Verdana" w:hAnsi="Verdana"/>
          <w:sz w:val="20"/>
          <w:szCs w:val="20"/>
        </w:rPr>
        <w:t>1.1.2.</w:t>
      </w:r>
      <w:r w:rsidR="00411569">
        <w:rPr>
          <w:rFonts w:ascii="Verdana" w:hAnsi="Verdana"/>
          <w:sz w:val="20"/>
          <w:szCs w:val="20"/>
        </w:rPr>
        <w:t>60</w:t>
      </w:r>
      <w:r w:rsidRPr="00B61B36">
        <w:rPr>
          <w:rFonts w:ascii="Verdana" w:hAnsi="Verdana"/>
          <w:sz w:val="20"/>
          <w:szCs w:val="20"/>
        </w:rPr>
        <w:t>.</w:t>
      </w:r>
    </w:p>
    <w:p w14:paraId="1D70B040" w14:textId="03C9AB1F" w:rsidR="00CA21C4" w:rsidRPr="00EE76BE" w:rsidRDefault="00EE76BE" w:rsidP="00766CA6">
      <w:pPr>
        <w:jc w:val="both"/>
        <w:rPr>
          <w:rFonts w:ascii="Verdana" w:hAnsi="Verdana"/>
          <w:sz w:val="20"/>
          <w:szCs w:val="20"/>
        </w:rPr>
      </w:pPr>
      <w:r w:rsidRPr="00EE76BE">
        <w:rPr>
          <w:rFonts w:ascii="Verdana" w:hAnsi="Verdana"/>
          <w:sz w:val="20"/>
          <w:szCs w:val="20"/>
        </w:rPr>
        <w:t>Los créditos reestructurados deben calificarse de conformidad con el análisis de riesgo</w:t>
      </w:r>
      <w:r w:rsidR="00C323B1">
        <w:rPr>
          <w:rFonts w:ascii="Verdana" w:hAnsi="Verdana"/>
          <w:sz w:val="20"/>
          <w:szCs w:val="20"/>
        </w:rPr>
        <w:t>,</w:t>
      </w:r>
      <w:r w:rsidRPr="00EE76BE">
        <w:rPr>
          <w:rFonts w:ascii="Verdana" w:hAnsi="Verdana"/>
          <w:sz w:val="20"/>
          <w:szCs w:val="20"/>
        </w:rPr>
        <w:t xml:space="preserve"> capacidad de pago y </w:t>
      </w:r>
      <w:r w:rsidR="00C323B1">
        <w:rPr>
          <w:rFonts w:ascii="Verdana" w:hAnsi="Verdana"/>
          <w:sz w:val="20"/>
          <w:szCs w:val="20"/>
        </w:rPr>
        <w:t xml:space="preserve">de conformidad con </w:t>
      </w:r>
      <w:r w:rsidRPr="00EE76BE">
        <w:rPr>
          <w:rFonts w:ascii="Verdana" w:hAnsi="Verdana"/>
          <w:sz w:val="20"/>
          <w:szCs w:val="20"/>
        </w:rPr>
        <w:t xml:space="preserve">las </w:t>
      </w:r>
      <w:r w:rsidR="00A129BC">
        <w:rPr>
          <w:rFonts w:ascii="Verdana" w:hAnsi="Verdana"/>
          <w:sz w:val="20"/>
          <w:szCs w:val="20"/>
        </w:rPr>
        <w:t>demás</w:t>
      </w:r>
      <w:r w:rsidRPr="00EE76BE">
        <w:rPr>
          <w:rFonts w:ascii="Verdana" w:hAnsi="Verdana"/>
          <w:sz w:val="20"/>
          <w:szCs w:val="20"/>
        </w:rPr>
        <w:t xml:space="preserve"> condiciones señaladas en el presente capítulo y sus anexos en relación con el riesgo de crédito. En ningún caso, la calificación podrá ser mejor a aquella que tenía el crédito al momento de solicitar la reestructuración.</w:t>
      </w:r>
    </w:p>
    <w:p w14:paraId="6AA58DB5" w14:textId="1E08684D" w:rsidR="00F94A1F" w:rsidRDefault="00F94A1F" w:rsidP="00003E6A">
      <w:pPr>
        <w:pStyle w:val="Prrafodelista"/>
        <w:numPr>
          <w:ilvl w:val="1"/>
          <w:numId w:val="6"/>
        </w:numPr>
        <w:ind w:left="851" w:hanging="284"/>
        <w:jc w:val="both"/>
        <w:rPr>
          <w:rFonts w:ascii="Verdana" w:hAnsi="Verdana"/>
          <w:b/>
          <w:bCs/>
          <w:sz w:val="20"/>
          <w:szCs w:val="20"/>
        </w:rPr>
      </w:pPr>
      <w:r w:rsidRPr="00F94A1F">
        <w:rPr>
          <w:rFonts w:ascii="Verdana" w:hAnsi="Verdana"/>
          <w:b/>
          <w:bCs/>
          <w:sz w:val="20"/>
          <w:szCs w:val="20"/>
        </w:rPr>
        <w:t xml:space="preserve">Calificación </w:t>
      </w:r>
      <w:r w:rsidR="0009760F" w:rsidRPr="0009760F">
        <w:rPr>
          <w:rFonts w:ascii="Verdana" w:hAnsi="Verdana"/>
          <w:b/>
          <w:bCs/>
          <w:sz w:val="20"/>
          <w:szCs w:val="20"/>
        </w:rPr>
        <w:t>del crédito después de la reestructuración</w:t>
      </w:r>
    </w:p>
    <w:p w14:paraId="562ACFE9" w14:textId="2BFECFD0" w:rsidR="003645CA" w:rsidRPr="00B61B36" w:rsidRDefault="003645CA" w:rsidP="00766CA6">
      <w:pPr>
        <w:spacing w:after="0"/>
        <w:jc w:val="both"/>
        <w:rPr>
          <w:rFonts w:ascii="Verdana" w:hAnsi="Verdana"/>
          <w:sz w:val="20"/>
          <w:szCs w:val="20"/>
        </w:rPr>
      </w:pPr>
      <w:r w:rsidRPr="00B61B36">
        <w:rPr>
          <w:rFonts w:ascii="Verdana" w:hAnsi="Verdana"/>
          <w:sz w:val="20"/>
          <w:szCs w:val="20"/>
        </w:rPr>
        <w:t>1.1.2.</w:t>
      </w:r>
      <w:r w:rsidR="00411569">
        <w:rPr>
          <w:rFonts w:ascii="Verdana" w:hAnsi="Verdana"/>
          <w:sz w:val="20"/>
          <w:szCs w:val="20"/>
        </w:rPr>
        <w:t>61</w:t>
      </w:r>
      <w:r w:rsidRPr="00B61B36">
        <w:rPr>
          <w:rFonts w:ascii="Verdana" w:hAnsi="Verdana"/>
          <w:sz w:val="20"/>
          <w:szCs w:val="20"/>
        </w:rPr>
        <w:t>.</w:t>
      </w:r>
    </w:p>
    <w:p w14:paraId="1C719A31" w14:textId="77777777" w:rsidR="00F97799" w:rsidRDefault="00880826" w:rsidP="00766CA6">
      <w:pPr>
        <w:jc w:val="both"/>
        <w:rPr>
          <w:rFonts w:ascii="Verdana" w:hAnsi="Verdana"/>
          <w:sz w:val="20"/>
          <w:szCs w:val="20"/>
        </w:rPr>
      </w:pPr>
      <w:r w:rsidRPr="00880826">
        <w:rPr>
          <w:rFonts w:ascii="Verdana" w:hAnsi="Verdana"/>
          <w:sz w:val="20"/>
          <w:szCs w:val="20"/>
        </w:rPr>
        <w:t>La entidad podrá asignar gradualmente una calificación de menor riesgo cuando se cumplan las siguientes condiciones:</w:t>
      </w:r>
    </w:p>
    <w:p w14:paraId="43F11B2E" w14:textId="7A0371B2" w:rsidR="00F97799" w:rsidRDefault="00F97799" w:rsidP="00766CA6">
      <w:pPr>
        <w:pStyle w:val="Prrafodelista"/>
        <w:numPr>
          <w:ilvl w:val="0"/>
          <w:numId w:val="22"/>
        </w:numPr>
        <w:ind w:left="567" w:hanging="567"/>
        <w:jc w:val="both"/>
        <w:rPr>
          <w:rFonts w:ascii="Verdana" w:hAnsi="Verdana"/>
          <w:sz w:val="20"/>
          <w:szCs w:val="20"/>
        </w:rPr>
      </w:pPr>
      <w:r w:rsidRPr="00F97799">
        <w:rPr>
          <w:rFonts w:ascii="Verdana" w:hAnsi="Verdana"/>
          <w:sz w:val="20"/>
          <w:szCs w:val="20"/>
        </w:rPr>
        <w:t>Se verifique que la capacidad de pago del deudor cumple con los criterios para mejorar la calificación conforme a lo</w:t>
      </w:r>
      <w:r w:rsidR="000C7211">
        <w:rPr>
          <w:rFonts w:ascii="Verdana" w:hAnsi="Verdana"/>
          <w:sz w:val="20"/>
          <w:szCs w:val="20"/>
        </w:rPr>
        <w:t>s criterios</w:t>
      </w:r>
      <w:r w:rsidRPr="00F97799">
        <w:rPr>
          <w:rFonts w:ascii="Verdana" w:hAnsi="Verdana"/>
          <w:sz w:val="20"/>
          <w:szCs w:val="20"/>
        </w:rPr>
        <w:t xml:space="preserve"> </w:t>
      </w:r>
      <w:r w:rsidR="000C7211">
        <w:rPr>
          <w:rFonts w:ascii="Verdana" w:hAnsi="Verdana"/>
          <w:sz w:val="20"/>
          <w:szCs w:val="20"/>
        </w:rPr>
        <w:t xml:space="preserve">de riesgo </w:t>
      </w:r>
      <w:r w:rsidRPr="00F97799">
        <w:rPr>
          <w:rFonts w:ascii="Verdana" w:hAnsi="Verdana"/>
          <w:sz w:val="20"/>
          <w:szCs w:val="20"/>
        </w:rPr>
        <w:t>señalado</w:t>
      </w:r>
      <w:r w:rsidR="000C7211">
        <w:rPr>
          <w:rFonts w:ascii="Verdana" w:hAnsi="Verdana"/>
          <w:sz w:val="20"/>
          <w:szCs w:val="20"/>
        </w:rPr>
        <w:t>s</w:t>
      </w:r>
      <w:r w:rsidRPr="00F97799">
        <w:rPr>
          <w:rFonts w:ascii="Verdana" w:hAnsi="Verdana"/>
          <w:sz w:val="20"/>
          <w:szCs w:val="20"/>
        </w:rPr>
        <w:t xml:space="preserve"> en el presente </w:t>
      </w:r>
      <w:r w:rsidR="007F191D">
        <w:rPr>
          <w:rFonts w:ascii="Verdana" w:hAnsi="Verdana"/>
          <w:sz w:val="20"/>
          <w:szCs w:val="20"/>
        </w:rPr>
        <w:t>c</w:t>
      </w:r>
      <w:r w:rsidRPr="00F97799">
        <w:rPr>
          <w:rFonts w:ascii="Verdana" w:hAnsi="Verdana"/>
          <w:sz w:val="20"/>
          <w:szCs w:val="20"/>
        </w:rPr>
        <w:t>apítulo.</w:t>
      </w:r>
    </w:p>
    <w:p w14:paraId="6C786398" w14:textId="77777777" w:rsidR="001A3D65" w:rsidRDefault="001A3D65" w:rsidP="001A3D65">
      <w:pPr>
        <w:pStyle w:val="Prrafodelista"/>
        <w:ind w:left="567"/>
        <w:jc w:val="both"/>
        <w:rPr>
          <w:rFonts w:ascii="Verdana" w:hAnsi="Verdana"/>
          <w:sz w:val="20"/>
          <w:szCs w:val="20"/>
        </w:rPr>
      </w:pPr>
    </w:p>
    <w:p w14:paraId="2D6A0055" w14:textId="003AD7E0" w:rsidR="00F97799" w:rsidRDefault="00F97799" w:rsidP="00766CA6">
      <w:pPr>
        <w:pStyle w:val="Prrafodelista"/>
        <w:numPr>
          <w:ilvl w:val="0"/>
          <w:numId w:val="22"/>
        </w:numPr>
        <w:ind w:left="567" w:hanging="567"/>
        <w:jc w:val="both"/>
        <w:rPr>
          <w:rFonts w:ascii="Verdana" w:hAnsi="Verdana"/>
          <w:sz w:val="20"/>
          <w:szCs w:val="20"/>
        </w:rPr>
      </w:pPr>
      <w:r w:rsidRPr="00F97799">
        <w:rPr>
          <w:rFonts w:ascii="Verdana" w:hAnsi="Verdana"/>
          <w:sz w:val="20"/>
          <w:szCs w:val="20"/>
        </w:rPr>
        <w:t>Cuando el deudor haya realizado dentro de la reestructuración pagos regulares y efectivos a capital e intereses durante 6 meses consecutivos.</w:t>
      </w:r>
    </w:p>
    <w:p w14:paraId="29B5853C" w14:textId="77777777" w:rsidR="00F97799" w:rsidRDefault="00F97799" w:rsidP="00766CA6">
      <w:pPr>
        <w:pStyle w:val="Prrafodelista"/>
        <w:ind w:left="567"/>
        <w:jc w:val="both"/>
        <w:rPr>
          <w:rFonts w:ascii="Verdana" w:hAnsi="Verdana"/>
          <w:sz w:val="20"/>
          <w:szCs w:val="20"/>
        </w:rPr>
      </w:pPr>
    </w:p>
    <w:p w14:paraId="1B7703B4" w14:textId="2B1584AA" w:rsidR="00AA1D08" w:rsidRDefault="00F97799" w:rsidP="00766CA6">
      <w:pPr>
        <w:pStyle w:val="Prrafodelista"/>
        <w:numPr>
          <w:ilvl w:val="0"/>
          <w:numId w:val="22"/>
        </w:numPr>
        <w:ind w:left="567" w:hanging="567"/>
        <w:jc w:val="both"/>
        <w:rPr>
          <w:rFonts w:ascii="Verdana" w:hAnsi="Verdana"/>
          <w:sz w:val="20"/>
          <w:szCs w:val="20"/>
        </w:rPr>
      </w:pPr>
      <w:r w:rsidRPr="00F97799">
        <w:rPr>
          <w:rFonts w:ascii="Verdana" w:hAnsi="Verdana"/>
          <w:sz w:val="20"/>
          <w:szCs w:val="20"/>
        </w:rPr>
        <w:t>En aquellos eventos en que un deudor haya sido objeto de varias reestructuraciones</w:t>
      </w:r>
      <w:r w:rsidR="00F3213F">
        <w:rPr>
          <w:rFonts w:ascii="Verdana" w:hAnsi="Verdana"/>
          <w:sz w:val="20"/>
          <w:szCs w:val="20"/>
        </w:rPr>
        <w:t xml:space="preserve"> en la misma obligaci</w:t>
      </w:r>
      <w:r w:rsidR="00232977">
        <w:rPr>
          <w:rFonts w:ascii="Verdana" w:hAnsi="Verdana"/>
          <w:sz w:val="20"/>
          <w:szCs w:val="20"/>
        </w:rPr>
        <w:t>ón</w:t>
      </w:r>
      <w:r w:rsidRPr="00F97799">
        <w:rPr>
          <w:rFonts w:ascii="Verdana" w:hAnsi="Verdana"/>
          <w:sz w:val="20"/>
          <w:szCs w:val="20"/>
        </w:rPr>
        <w:t>, la calificación de éste debe revelar ese mayor riesgo.</w:t>
      </w:r>
    </w:p>
    <w:p w14:paraId="3FD5C943" w14:textId="77777777" w:rsidR="00AA1D08" w:rsidRPr="00AA1D08" w:rsidRDefault="00AA1D08" w:rsidP="00766CA6">
      <w:pPr>
        <w:pStyle w:val="Prrafodelista"/>
        <w:jc w:val="both"/>
        <w:rPr>
          <w:rFonts w:ascii="Verdana" w:hAnsi="Verdana"/>
          <w:b/>
          <w:bCs/>
          <w:sz w:val="20"/>
          <w:szCs w:val="20"/>
        </w:rPr>
      </w:pPr>
    </w:p>
    <w:p w14:paraId="2B0C220D" w14:textId="5680BB40" w:rsidR="00AA1D08" w:rsidRPr="00AA1D08" w:rsidRDefault="00AA1D08" w:rsidP="00C35CD9">
      <w:pPr>
        <w:pStyle w:val="Prrafodelista"/>
        <w:numPr>
          <w:ilvl w:val="1"/>
          <w:numId w:val="6"/>
        </w:numPr>
        <w:ind w:left="851" w:hanging="284"/>
        <w:jc w:val="both"/>
        <w:rPr>
          <w:rFonts w:ascii="Verdana" w:hAnsi="Verdana"/>
          <w:b/>
          <w:bCs/>
          <w:sz w:val="20"/>
          <w:szCs w:val="20"/>
        </w:rPr>
      </w:pPr>
      <w:r w:rsidRPr="00AA1D08">
        <w:rPr>
          <w:rFonts w:ascii="Verdana" w:hAnsi="Verdana"/>
          <w:b/>
          <w:bCs/>
          <w:sz w:val="20"/>
          <w:szCs w:val="20"/>
        </w:rPr>
        <w:t>Reestructuraciones especiales</w:t>
      </w:r>
    </w:p>
    <w:p w14:paraId="60996A04" w14:textId="3A912C7B" w:rsidR="00E53C0D" w:rsidRPr="00E53C0D" w:rsidRDefault="00E53C0D" w:rsidP="00766CA6">
      <w:pPr>
        <w:spacing w:after="0"/>
        <w:jc w:val="both"/>
        <w:rPr>
          <w:rFonts w:ascii="Verdana" w:hAnsi="Verdana"/>
          <w:sz w:val="20"/>
          <w:szCs w:val="20"/>
        </w:rPr>
      </w:pPr>
      <w:r w:rsidRPr="00E53C0D">
        <w:rPr>
          <w:rFonts w:ascii="Verdana" w:hAnsi="Verdana"/>
          <w:sz w:val="20"/>
          <w:szCs w:val="20"/>
        </w:rPr>
        <w:t>1.1.2.6</w:t>
      </w:r>
      <w:r>
        <w:rPr>
          <w:rFonts w:ascii="Verdana" w:hAnsi="Verdana"/>
          <w:sz w:val="20"/>
          <w:szCs w:val="20"/>
        </w:rPr>
        <w:t>2</w:t>
      </w:r>
      <w:r w:rsidRPr="00E53C0D">
        <w:rPr>
          <w:rFonts w:ascii="Verdana" w:hAnsi="Verdana"/>
          <w:sz w:val="20"/>
          <w:szCs w:val="20"/>
        </w:rPr>
        <w:t>.</w:t>
      </w:r>
    </w:p>
    <w:p w14:paraId="33B7F6A2" w14:textId="5B8D52DB" w:rsidR="000C7211" w:rsidRDefault="00AA1D08" w:rsidP="00766CA6">
      <w:pPr>
        <w:jc w:val="both"/>
        <w:rPr>
          <w:rFonts w:ascii="Verdana" w:hAnsi="Verdana"/>
          <w:sz w:val="20"/>
          <w:szCs w:val="20"/>
        </w:rPr>
      </w:pPr>
      <w:r w:rsidRPr="00AA1D08">
        <w:rPr>
          <w:rFonts w:ascii="Verdana" w:hAnsi="Verdana"/>
          <w:sz w:val="20"/>
          <w:szCs w:val="20"/>
        </w:rPr>
        <w:t xml:space="preserve">Los créditos reestructurados atendiendo lo dispuesto en las Leyes 550 de 1999, 617 de 2000, 1116 de 2006 y 1564 de 2012, o aquellas que las adicionen o sustituyan, deben </w:t>
      </w:r>
      <w:r w:rsidRPr="00AA1D08">
        <w:rPr>
          <w:rFonts w:ascii="Verdana" w:hAnsi="Verdana"/>
          <w:sz w:val="20"/>
          <w:szCs w:val="20"/>
        </w:rPr>
        <w:lastRenderedPageBreak/>
        <w:t xml:space="preserve">observar las instrucciones contenidas en el </w:t>
      </w:r>
      <w:r w:rsidR="00726534">
        <w:rPr>
          <w:rFonts w:ascii="Verdana" w:hAnsi="Verdana"/>
          <w:sz w:val="20"/>
          <w:szCs w:val="20"/>
        </w:rPr>
        <w:t xml:space="preserve">presente capítulo y en el </w:t>
      </w:r>
      <w:r w:rsidRPr="00AA1D08">
        <w:rPr>
          <w:rFonts w:ascii="Verdana" w:hAnsi="Verdana"/>
          <w:sz w:val="20"/>
          <w:szCs w:val="20"/>
        </w:rPr>
        <w:t>anexo 4 del presente capítulo</w:t>
      </w:r>
      <w:r w:rsidR="00913788">
        <w:rPr>
          <w:rFonts w:ascii="Verdana" w:hAnsi="Verdana"/>
          <w:sz w:val="20"/>
          <w:szCs w:val="20"/>
        </w:rPr>
        <w:t>,</w:t>
      </w:r>
      <w:r w:rsidRPr="00AA1D08">
        <w:rPr>
          <w:rFonts w:ascii="Verdana" w:hAnsi="Verdana"/>
          <w:sz w:val="20"/>
          <w:szCs w:val="20"/>
        </w:rPr>
        <w:t xml:space="preserve"> según corresponda</w:t>
      </w:r>
      <w:r w:rsidR="007D7E07">
        <w:rPr>
          <w:rFonts w:ascii="Verdana" w:hAnsi="Verdana"/>
          <w:sz w:val="20"/>
          <w:szCs w:val="20"/>
        </w:rPr>
        <w:t xml:space="preserve"> de acuerdo con la norma aplicable</w:t>
      </w:r>
      <w:r w:rsidRPr="00AA1D08">
        <w:rPr>
          <w:rFonts w:ascii="Verdana" w:hAnsi="Verdana"/>
          <w:sz w:val="20"/>
          <w:szCs w:val="20"/>
        </w:rPr>
        <w:t>.</w:t>
      </w:r>
    </w:p>
    <w:p w14:paraId="16412C91" w14:textId="6A1B6A06" w:rsidR="008250A9" w:rsidRDefault="008250A9" w:rsidP="00766CA6">
      <w:pPr>
        <w:jc w:val="both"/>
        <w:rPr>
          <w:rFonts w:ascii="Verdana" w:hAnsi="Verdana"/>
          <w:b/>
          <w:bCs/>
          <w:sz w:val="20"/>
          <w:szCs w:val="20"/>
        </w:rPr>
      </w:pPr>
      <w:r>
        <w:rPr>
          <w:rFonts w:ascii="Verdana" w:hAnsi="Verdana"/>
          <w:b/>
          <w:bCs/>
          <w:sz w:val="20"/>
          <w:szCs w:val="20"/>
        </w:rPr>
        <w:t>Límites</w:t>
      </w:r>
    </w:p>
    <w:p w14:paraId="39843214" w14:textId="77777777" w:rsidR="0054693E" w:rsidRDefault="008250A9" w:rsidP="00766CA6">
      <w:pPr>
        <w:spacing w:after="0"/>
        <w:jc w:val="both"/>
        <w:rPr>
          <w:rFonts w:ascii="Verdana" w:hAnsi="Verdana"/>
          <w:sz w:val="20"/>
          <w:szCs w:val="20"/>
        </w:rPr>
      </w:pPr>
      <w:r>
        <w:rPr>
          <w:rFonts w:ascii="Verdana" w:hAnsi="Verdana"/>
          <w:sz w:val="20"/>
          <w:szCs w:val="20"/>
        </w:rPr>
        <w:t>1.1.2.63.</w:t>
      </w:r>
    </w:p>
    <w:p w14:paraId="20B4AE7E" w14:textId="3666994E" w:rsidR="0054693E" w:rsidRDefault="00A824A3" w:rsidP="00766CA6">
      <w:pPr>
        <w:jc w:val="both"/>
        <w:rPr>
          <w:rFonts w:ascii="Verdana" w:hAnsi="Verdana"/>
          <w:sz w:val="20"/>
          <w:szCs w:val="20"/>
        </w:rPr>
      </w:pPr>
      <w:r w:rsidRPr="0054693E">
        <w:rPr>
          <w:rFonts w:ascii="Verdana" w:hAnsi="Verdana"/>
          <w:sz w:val="20"/>
          <w:szCs w:val="20"/>
        </w:rPr>
        <w:t>La entidad debe considerar:</w:t>
      </w:r>
      <w:r w:rsidR="0054693E" w:rsidRPr="0054693E">
        <w:rPr>
          <w:rFonts w:ascii="Verdana" w:hAnsi="Verdana"/>
          <w:sz w:val="20"/>
          <w:szCs w:val="20"/>
        </w:rPr>
        <w:t xml:space="preserve"> </w:t>
      </w:r>
    </w:p>
    <w:p w14:paraId="000D02A2" w14:textId="2CF54968" w:rsidR="0054693E" w:rsidRDefault="00A824A3" w:rsidP="00766CA6">
      <w:pPr>
        <w:pStyle w:val="Prrafodelista"/>
        <w:numPr>
          <w:ilvl w:val="0"/>
          <w:numId w:val="23"/>
        </w:numPr>
        <w:spacing w:after="0"/>
        <w:ind w:left="567" w:hanging="567"/>
        <w:jc w:val="both"/>
        <w:rPr>
          <w:rFonts w:ascii="Verdana" w:hAnsi="Verdana"/>
          <w:sz w:val="20"/>
          <w:szCs w:val="20"/>
        </w:rPr>
      </w:pPr>
      <w:r w:rsidRPr="0054693E">
        <w:rPr>
          <w:rFonts w:ascii="Verdana" w:hAnsi="Verdana"/>
          <w:sz w:val="20"/>
          <w:szCs w:val="20"/>
        </w:rPr>
        <w:t xml:space="preserve">Límites y/o umbrales de exposición, de acuerdo con lo previsto en el </w:t>
      </w:r>
      <w:r w:rsidR="00911866">
        <w:rPr>
          <w:rFonts w:ascii="Verdana" w:hAnsi="Verdana"/>
          <w:sz w:val="20"/>
          <w:szCs w:val="20"/>
        </w:rPr>
        <w:t xml:space="preserve">capítulo 10 de la parte 2 de la </w:t>
      </w:r>
      <w:r w:rsidR="00F5486D">
        <w:rPr>
          <w:rFonts w:ascii="Verdana" w:hAnsi="Verdana"/>
          <w:sz w:val="20"/>
          <w:szCs w:val="20"/>
        </w:rPr>
        <w:t>CBF</w:t>
      </w:r>
      <w:r w:rsidR="00911866">
        <w:rPr>
          <w:rFonts w:ascii="Verdana" w:hAnsi="Verdana"/>
          <w:sz w:val="20"/>
          <w:szCs w:val="20"/>
        </w:rPr>
        <w:t>.</w:t>
      </w:r>
      <w:r w:rsidRPr="0054693E">
        <w:rPr>
          <w:rFonts w:ascii="Verdana" w:hAnsi="Verdana"/>
          <w:sz w:val="20"/>
          <w:szCs w:val="20"/>
        </w:rPr>
        <w:t xml:space="preserve">  </w:t>
      </w:r>
    </w:p>
    <w:p w14:paraId="15524357" w14:textId="77777777" w:rsidR="0054693E" w:rsidRDefault="0054693E" w:rsidP="00766CA6">
      <w:pPr>
        <w:pStyle w:val="Prrafodelista"/>
        <w:spacing w:after="0"/>
        <w:ind w:left="567"/>
        <w:jc w:val="both"/>
        <w:rPr>
          <w:rFonts w:ascii="Verdana" w:hAnsi="Verdana"/>
          <w:sz w:val="20"/>
          <w:szCs w:val="20"/>
        </w:rPr>
      </w:pPr>
    </w:p>
    <w:p w14:paraId="34C5BDD2" w14:textId="77777777" w:rsidR="0054693E" w:rsidRDefault="00A824A3" w:rsidP="00766CA6">
      <w:pPr>
        <w:pStyle w:val="Prrafodelista"/>
        <w:numPr>
          <w:ilvl w:val="0"/>
          <w:numId w:val="23"/>
        </w:numPr>
        <w:spacing w:after="0"/>
        <w:ind w:left="567" w:hanging="567"/>
        <w:jc w:val="both"/>
        <w:rPr>
          <w:rFonts w:ascii="Verdana" w:hAnsi="Verdana"/>
          <w:sz w:val="20"/>
          <w:szCs w:val="20"/>
        </w:rPr>
      </w:pPr>
      <w:r w:rsidRPr="0054693E">
        <w:rPr>
          <w:rFonts w:ascii="Verdana" w:hAnsi="Verdana"/>
          <w:sz w:val="20"/>
          <w:szCs w:val="20"/>
        </w:rPr>
        <w:t>Cupos de adjudicación y las instancias de aprobación.</w:t>
      </w:r>
    </w:p>
    <w:p w14:paraId="210FE39A" w14:textId="77777777" w:rsidR="0054693E" w:rsidRPr="0054693E" w:rsidRDefault="0054693E" w:rsidP="00766CA6">
      <w:pPr>
        <w:pStyle w:val="Prrafodelista"/>
        <w:jc w:val="both"/>
        <w:rPr>
          <w:rFonts w:ascii="Verdana" w:hAnsi="Verdana"/>
          <w:sz w:val="20"/>
          <w:szCs w:val="20"/>
        </w:rPr>
      </w:pPr>
    </w:p>
    <w:p w14:paraId="2148DA10" w14:textId="77777777" w:rsidR="00E76DDC" w:rsidRDefault="00A824A3" w:rsidP="00766CA6">
      <w:pPr>
        <w:pStyle w:val="Prrafodelista"/>
        <w:numPr>
          <w:ilvl w:val="0"/>
          <w:numId w:val="23"/>
        </w:numPr>
        <w:spacing w:after="0"/>
        <w:ind w:left="567" w:hanging="567"/>
        <w:jc w:val="both"/>
        <w:rPr>
          <w:rFonts w:ascii="Verdana" w:hAnsi="Verdana"/>
          <w:sz w:val="20"/>
          <w:szCs w:val="20"/>
        </w:rPr>
      </w:pPr>
      <w:r w:rsidRPr="0054693E">
        <w:rPr>
          <w:rFonts w:ascii="Verdana" w:hAnsi="Verdana"/>
          <w:sz w:val="20"/>
          <w:szCs w:val="20"/>
        </w:rPr>
        <w:t>La entidad debe implementar procedimientos para incrementar el monitoreo en caso de acercarse a los límites internos y/o regulatorios</w:t>
      </w:r>
      <w:r w:rsidR="00AB28D5">
        <w:rPr>
          <w:rFonts w:ascii="Verdana" w:hAnsi="Verdana"/>
          <w:sz w:val="20"/>
          <w:szCs w:val="20"/>
        </w:rPr>
        <w:t>,</w:t>
      </w:r>
      <w:r w:rsidRPr="0054693E">
        <w:rPr>
          <w:rFonts w:ascii="Verdana" w:hAnsi="Verdana"/>
          <w:sz w:val="20"/>
          <w:szCs w:val="20"/>
        </w:rPr>
        <w:t xml:space="preserve"> y para tomar las medidas correctivas necesarias.</w:t>
      </w:r>
    </w:p>
    <w:p w14:paraId="02E2599B" w14:textId="77777777" w:rsidR="00E76DDC" w:rsidRPr="00E76DDC" w:rsidRDefault="00E76DDC" w:rsidP="00766CA6">
      <w:pPr>
        <w:pStyle w:val="Prrafodelista"/>
        <w:jc w:val="both"/>
        <w:rPr>
          <w:rFonts w:ascii="Verdana" w:hAnsi="Verdana"/>
          <w:b/>
          <w:bCs/>
          <w:sz w:val="20"/>
          <w:szCs w:val="20"/>
        </w:rPr>
      </w:pPr>
    </w:p>
    <w:p w14:paraId="72C32C11" w14:textId="6C3E109B" w:rsidR="00CC015D" w:rsidRPr="00387CBC" w:rsidRDefault="00E76DDC" w:rsidP="00766CA6">
      <w:pPr>
        <w:pStyle w:val="Prrafodelista"/>
        <w:numPr>
          <w:ilvl w:val="0"/>
          <w:numId w:val="23"/>
        </w:numPr>
        <w:spacing w:after="0"/>
        <w:ind w:left="567" w:hanging="567"/>
        <w:jc w:val="both"/>
        <w:rPr>
          <w:rFonts w:ascii="Verdana" w:hAnsi="Verdana"/>
          <w:sz w:val="20"/>
          <w:szCs w:val="20"/>
        </w:rPr>
      </w:pPr>
      <w:r w:rsidRPr="005828D8">
        <w:rPr>
          <w:rFonts w:ascii="Verdana" w:hAnsi="Verdana"/>
          <w:sz w:val="20"/>
          <w:szCs w:val="20"/>
        </w:rPr>
        <w:t xml:space="preserve">Para la definición de los límites y </w:t>
      </w:r>
      <w:r w:rsidR="0044275D" w:rsidRPr="005828D8">
        <w:rPr>
          <w:rFonts w:ascii="Verdana" w:hAnsi="Verdana"/>
          <w:sz w:val="20"/>
          <w:szCs w:val="20"/>
        </w:rPr>
        <w:t>su</w:t>
      </w:r>
      <w:r w:rsidRPr="005828D8">
        <w:rPr>
          <w:rFonts w:ascii="Verdana" w:hAnsi="Verdana"/>
          <w:sz w:val="20"/>
          <w:szCs w:val="20"/>
        </w:rPr>
        <w:t xml:space="preserve"> proceso de monitoreo se deben considerar los resultados de las pruebas de estrés diseñados para el riesgo de crédito.</w:t>
      </w:r>
    </w:p>
    <w:p w14:paraId="3C9852F6" w14:textId="77777777" w:rsidR="002F3106" w:rsidRDefault="002F3106" w:rsidP="00766CA6">
      <w:pPr>
        <w:jc w:val="both"/>
        <w:rPr>
          <w:rFonts w:ascii="Verdana" w:hAnsi="Verdana"/>
          <w:b/>
          <w:bCs/>
          <w:sz w:val="20"/>
          <w:szCs w:val="20"/>
        </w:rPr>
      </w:pPr>
    </w:p>
    <w:p w14:paraId="733EAC21" w14:textId="51EE434A" w:rsidR="00403A01" w:rsidRPr="00403A01" w:rsidRDefault="00403A01" w:rsidP="00766CA6">
      <w:pPr>
        <w:jc w:val="both"/>
        <w:rPr>
          <w:rFonts w:ascii="Verdana" w:hAnsi="Verdana"/>
          <w:b/>
          <w:bCs/>
          <w:sz w:val="20"/>
          <w:szCs w:val="20"/>
        </w:rPr>
      </w:pPr>
      <w:r w:rsidRPr="00403A01">
        <w:rPr>
          <w:rFonts w:ascii="Verdana" w:hAnsi="Verdana"/>
          <w:b/>
          <w:bCs/>
          <w:sz w:val="20"/>
          <w:szCs w:val="20"/>
        </w:rPr>
        <w:t xml:space="preserve">Reglas para la </w:t>
      </w:r>
      <w:r w:rsidR="003D7E17">
        <w:rPr>
          <w:rFonts w:ascii="Verdana" w:hAnsi="Verdana"/>
          <w:b/>
          <w:bCs/>
          <w:sz w:val="20"/>
          <w:szCs w:val="20"/>
        </w:rPr>
        <w:t xml:space="preserve">compra </w:t>
      </w:r>
      <w:r w:rsidRPr="00403A01">
        <w:rPr>
          <w:rFonts w:ascii="Verdana" w:hAnsi="Verdana"/>
          <w:b/>
          <w:bCs/>
          <w:sz w:val="20"/>
          <w:szCs w:val="20"/>
        </w:rPr>
        <w:t>de cartera de crédito</w:t>
      </w:r>
    </w:p>
    <w:p w14:paraId="7B74F178" w14:textId="4DA49292" w:rsidR="00403A01" w:rsidRDefault="00403A01" w:rsidP="00766CA6">
      <w:pPr>
        <w:spacing w:after="0"/>
        <w:jc w:val="both"/>
        <w:rPr>
          <w:rFonts w:ascii="Verdana" w:hAnsi="Verdana"/>
          <w:sz w:val="20"/>
          <w:szCs w:val="20"/>
        </w:rPr>
      </w:pPr>
      <w:r>
        <w:rPr>
          <w:rFonts w:ascii="Verdana" w:hAnsi="Verdana"/>
          <w:sz w:val="20"/>
          <w:szCs w:val="20"/>
        </w:rPr>
        <w:t>1.1.2.64.</w:t>
      </w:r>
    </w:p>
    <w:p w14:paraId="54AE15B7" w14:textId="50A2362E" w:rsidR="004F024A" w:rsidRPr="00E12A3E" w:rsidRDefault="00403A01" w:rsidP="00766CA6">
      <w:pPr>
        <w:jc w:val="both"/>
        <w:rPr>
          <w:rFonts w:ascii="Verdana" w:hAnsi="Verdana"/>
          <w:sz w:val="20"/>
          <w:szCs w:val="20"/>
        </w:rPr>
      </w:pPr>
      <w:r w:rsidRPr="0054693E">
        <w:rPr>
          <w:rFonts w:ascii="Verdana" w:hAnsi="Verdana"/>
          <w:sz w:val="20"/>
          <w:szCs w:val="20"/>
        </w:rPr>
        <w:t>La</w:t>
      </w:r>
      <w:r w:rsidR="00967424">
        <w:rPr>
          <w:rFonts w:ascii="Verdana" w:hAnsi="Verdana"/>
          <w:sz w:val="20"/>
          <w:szCs w:val="20"/>
        </w:rPr>
        <w:t>s</w:t>
      </w:r>
      <w:r w:rsidR="00561848" w:rsidRPr="00561848">
        <w:rPr>
          <w:rFonts w:ascii="Verdana" w:hAnsi="Verdana"/>
          <w:sz w:val="20"/>
          <w:szCs w:val="20"/>
        </w:rPr>
        <w:t xml:space="preserve"> entidad</w:t>
      </w:r>
      <w:r w:rsidR="00967424">
        <w:rPr>
          <w:rFonts w:ascii="Verdana" w:hAnsi="Verdana"/>
          <w:sz w:val="20"/>
          <w:szCs w:val="20"/>
        </w:rPr>
        <w:t>es</w:t>
      </w:r>
      <w:r w:rsidR="00561848" w:rsidRPr="00561848">
        <w:rPr>
          <w:rFonts w:ascii="Verdana" w:hAnsi="Verdana"/>
          <w:sz w:val="20"/>
          <w:szCs w:val="20"/>
        </w:rPr>
        <w:t xml:space="preserve"> debe</w:t>
      </w:r>
      <w:r w:rsidR="00967424">
        <w:rPr>
          <w:rFonts w:ascii="Verdana" w:hAnsi="Verdana"/>
          <w:sz w:val="20"/>
          <w:szCs w:val="20"/>
        </w:rPr>
        <w:t>n</w:t>
      </w:r>
      <w:r w:rsidR="00561848" w:rsidRPr="00561848">
        <w:rPr>
          <w:rFonts w:ascii="Verdana" w:hAnsi="Verdana"/>
          <w:sz w:val="20"/>
          <w:szCs w:val="20"/>
        </w:rPr>
        <w:t xml:space="preserve"> contar con políticas, procedimientos y controles para la compra de cartera. </w:t>
      </w:r>
      <w:r w:rsidR="00A147FD">
        <w:rPr>
          <w:rFonts w:ascii="Verdana" w:hAnsi="Verdana"/>
          <w:sz w:val="20"/>
          <w:szCs w:val="20"/>
        </w:rPr>
        <w:t xml:space="preserve">Para el caso de </w:t>
      </w:r>
      <w:r w:rsidR="00561848" w:rsidRPr="00561848">
        <w:rPr>
          <w:rFonts w:ascii="Verdana" w:hAnsi="Verdana"/>
          <w:sz w:val="20"/>
          <w:szCs w:val="20"/>
        </w:rPr>
        <w:t>la adquisición de cartera de créditos a entidades no vigiladas por la SFC, la</w:t>
      </w:r>
      <w:r w:rsidR="00EA6D75">
        <w:rPr>
          <w:rFonts w:ascii="Verdana" w:hAnsi="Verdana"/>
          <w:sz w:val="20"/>
          <w:szCs w:val="20"/>
        </w:rPr>
        <w:t>s</w:t>
      </w:r>
      <w:r w:rsidR="00561848" w:rsidRPr="00561848">
        <w:rPr>
          <w:rFonts w:ascii="Verdana" w:hAnsi="Verdana"/>
          <w:sz w:val="20"/>
          <w:szCs w:val="20"/>
        </w:rPr>
        <w:t xml:space="preserve"> entidad</w:t>
      </w:r>
      <w:r w:rsidR="00EA6D75">
        <w:rPr>
          <w:rFonts w:ascii="Verdana" w:hAnsi="Verdana"/>
          <w:sz w:val="20"/>
          <w:szCs w:val="20"/>
        </w:rPr>
        <w:t>es vigiladas</w:t>
      </w:r>
      <w:r w:rsidR="00561848" w:rsidRPr="00561848">
        <w:rPr>
          <w:rFonts w:ascii="Verdana" w:hAnsi="Verdana"/>
          <w:sz w:val="20"/>
          <w:szCs w:val="20"/>
        </w:rPr>
        <w:t xml:space="preserve"> debe</w:t>
      </w:r>
      <w:r w:rsidR="00EA6D75">
        <w:rPr>
          <w:rFonts w:ascii="Verdana" w:hAnsi="Verdana"/>
          <w:sz w:val="20"/>
          <w:szCs w:val="20"/>
        </w:rPr>
        <w:t>n</w:t>
      </w:r>
      <w:r w:rsidR="00561848" w:rsidRPr="00561848">
        <w:rPr>
          <w:rFonts w:ascii="Verdana" w:hAnsi="Verdana"/>
          <w:sz w:val="20"/>
          <w:szCs w:val="20"/>
        </w:rPr>
        <w:t xml:space="preserve"> cumplir con l</w:t>
      </w:r>
      <w:r w:rsidR="00EA6D75">
        <w:rPr>
          <w:rFonts w:ascii="Verdana" w:hAnsi="Verdana"/>
          <w:sz w:val="20"/>
          <w:szCs w:val="20"/>
        </w:rPr>
        <w:t>as instrucciones del párrafo 1.1.2.6</w:t>
      </w:r>
      <w:r w:rsidR="00303D91">
        <w:rPr>
          <w:rFonts w:ascii="Verdana" w:hAnsi="Verdana"/>
          <w:sz w:val="20"/>
          <w:szCs w:val="20"/>
        </w:rPr>
        <w:t xml:space="preserve">5. en relación con </w:t>
      </w:r>
      <w:r w:rsidR="003D7E17">
        <w:rPr>
          <w:rFonts w:ascii="Verdana" w:hAnsi="Verdana"/>
          <w:sz w:val="20"/>
          <w:szCs w:val="20"/>
        </w:rPr>
        <w:t xml:space="preserve">la gestión que se debe adelantar con </w:t>
      </w:r>
      <w:r w:rsidR="00303D91">
        <w:rPr>
          <w:rFonts w:ascii="Verdana" w:hAnsi="Verdana"/>
          <w:sz w:val="20"/>
          <w:szCs w:val="20"/>
        </w:rPr>
        <w:t xml:space="preserve">el originador de la cartera, así como </w:t>
      </w:r>
      <w:r w:rsidR="0095433D">
        <w:rPr>
          <w:rFonts w:ascii="Verdana" w:hAnsi="Verdana"/>
          <w:sz w:val="20"/>
          <w:szCs w:val="20"/>
        </w:rPr>
        <w:t xml:space="preserve">con </w:t>
      </w:r>
      <w:r w:rsidR="00303D91">
        <w:rPr>
          <w:rFonts w:ascii="Verdana" w:hAnsi="Verdana"/>
          <w:sz w:val="20"/>
          <w:szCs w:val="20"/>
        </w:rPr>
        <w:t xml:space="preserve">los </w:t>
      </w:r>
      <w:r w:rsidR="00561848" w:rsidRPr="00561848">
        <w:rPr>
          <w:rFonts w:ascii="Verdana" w:hAnsi="Verdana"/>
          <w:sz w:val="20"/>
          <w:szCs w:val="20"/>
        </w:rPr>
        <w:t>requisitos</w:t>
      </w:r>
      <w:r w:rsidR="00303D91">
        <w:rPr>
          <w:rFonts w:ascii="Verdana" w:hAnsi="Verdana"/>
          <w:sz w:val="20"/>
          <w:szCs w:val="20"/>
        </w:rPr>
        <w:t xml:space="preserve"> del párrafo 1.1.2.66</w:t>
      </w:r>
      <w:r w:rsidR="007D0B7D">
        <w:rPr>
          <w:rFonts w:ascii="Verdana" w:hAnsi="Verdana"/>
          <w:sz w:val="20"/>
          <w:szCs w:val="20"/>
        </w:rPr>
        <w:t>.</w:t>
      </w:r>
      <w:r w:rsidR="004F024A" w:rsidRPr="004F024A">
        <w:rPr>
          <w:rFonts w:ascii="Verdana" w:hAnsi="Verdana"/>
          <w:sz w:val="20"/>
          <w:szCs w:val="20"/>
        </w:rPr>
        <w:t xml:space="preserve"> </w:t>
      </w:r>
    </w:p>
    <w:p w14:paraId="3583E167" w14:textId="1C9DB1F1" w:rsidR="004F024A" w:rsidRPr="00E12A3E" w:rsidRDefault="004F024A" w:rsidP="00766CA6">
      <w:pPr>
        <w:spacing w:after="0"/>
        <w:jc w:val="both"/>
        <w:rPr>
          <w:rFonts w:ascii="Verdana" w:hAnsi="Verdana"/>
          <w:sz w:val="20"/>
          <w:szCs w:val="20"/>
        </w:rPr>
      </w:pPr>
      <w:r w:rsidRPr="00E12A3E">
        <w:rPr>
          <w:rFonts w:ascii="Verdana" w:hAnsi="Verdana"/>
          <w:sz w:val="20"/>
          <w:szCs w:val="20"/>
        </w:rPr>
        <w:t>1.1.2.</w:t>
      </w:r>
      <w:r>
        <w:rPr>
          <w:rFonts w:ascii="Verdana" w:hAnsi="Verdana"/>
          <w:sz w:val="20"/>
          <w:szCs w:val="20"/>
        </w:rPr>
        <w:t>65</w:t>
      </w:r>
      <w:r w:rsidRPr="00E12A3E">
        <w:rPr>
          <w:rFonts w:ascii="Verdana" w:hAnsi="Verdana"/>
          <w:sz w:val="20"/>
          <w:szCs w:val="20"/>
        </w:rPr>
        <w:t>.</w:t>
      </w:r>
    </w:p>
    <w:p w14:paraId="48A1A6A1" w14:textId="2CAD1AFE" w:rsidR="0055201E" w:rsidRDefault="00561848" w:rsidP="00766CA6">
      <w:pPr>
        <w:spacing w:after="0"/>
        <w:jc w:val="both"/>
        <w:rPr>
          <w:rFonts w:ascii="Verdana" w:hAnsi="Verdana"/>
          <w:sz w:val="20"/>
          <w:szCs w:val="20"/>
        </w:rPr>
      </w:pPr>
      <w:r w:rsidRPr="00561848">
        <w:rPr>
          <w:rFonts w:ascii="Verdana" w:hAnsi="Verdana"/>
          <w:sz w:val="20"/>
          <w:szCs w:val="20"/>
        </w:rPr>
        <w:t>Los EC sólo pueden realizar compras de cartera a personas jurídicas (en adelante, originadores) que acrediten</w:t>
      </w:r>
      <w:r w:rsidR="00B7248B">
        <w:rPr>
          <w:rFonts w:ascii="Verdana" w:hAnsi="Verdana"/>
          <w:sz w:val="20"/>
          <w:szCs w:val="20"/>
        </w:rPr>
        <w:t xml:space="preserve"> ante la respectiva entidad vigilada</w:t>
      </w:r>
      <w:r w:rsidRPr="00561848">
        <w:rPr>
          <w:rFonts w:ascii="Verdana" w:hAnsi="Verdana"/>
          <w:sz w:val="20"/>
          <w:szCs w:val="20"/>
        </w:rPr>
        <w:t xml:space="preserve"> el cumplimiento de los siguientes requerimientos mínimos:</w:t>
      </w:r>
    </w:p>
    <w:p w14:paraId="6E4B7761" w14:textId="77777777" w:rsidR="0055201E" w:rsidRDefault="0055201E" w:rsidP="00766CA6">
      <w:pPr>
        <w:spacing w:after="0"/>
        <w:jc w:val="both"/>
        <w:rPr>
          <w:rFonts w:ascii="Verdana" w:hAnsi="Verdana"/>
          <w:sz w:val="20"/>
          <w:szCs w:val="20"/>
        </w:rPr>
      </w:pPr>
    </w:p>
    <w:p w14:paraId="176C1BA0" w14:textId="77777777" w:rsidR="0055201E" w:rsidRDefault="0055201E" w:rsidP="00766CA6">
      <w:pPr>
        <w:pStyle w:val="Prrafodelista"/>
        <w:numPr>
          <w:ilvl w:val="0"/>
          <w:numId w:val="24"/>
        </w:numPr>
        <w:spacing w:after="0"/>
        <w:ind w:left="567" w:hanging="567"/>
        <w:jc w:val="both"/>
        <w:rPr>
          <w:rFonts w:ascii="Verdana" w:hAnsi="Verdana"/>
          <w:sz w:val="20"/>
          <w:szCs w:val="20"/>
        </w:rPr>
      </w:pPr>
      <w:r w:rsidRPr="0055201E">
        <w:rPr>
          <w:rFonts w:ascii="Verdana" w:hAnsi="Verdana"/>
          <w:sz w:val="20"/>
          <w:szCs w:val="20"/>
        </w:rPr>
        <w:t>Contar con las autorizaciones o registros legales exigidos para el desarrollo de la actividad de otorgamiento de crédito, cuando a ello haya lugar.</w:t>
      </w:r>
    </w:p>
    <w:p w14:paraId="4184D6A9" w14:textId="77777777" w:rsidR="0055201E" w:rsidRDefault="0055201E" w:rsidP="00766CA6">
      <w:pPr>
        <w:pStyle w:val="Prrafodelista"/>
        <w:spacing w:after="0"/>
        <w:ind w:left="567"/>
        <w:jc w:val="both"/>
        <w:rPr>
          <w:rFonts w:ascii="Verdana" w:hAnsi="Verdana"/>
          <w:sz w:val="20"/>
          <w:szCs w:val="20"/>
        </w:rPr>
      </w:pPr>
    </w:p>
    <w:p w14:paraId="362CF85E" w14:textId="23099E65" w:rsidR="0055201E" w:rsidRDefault="0055201E" w:rsidP="00766CA6">
      <w:pPr>
        <w:pStyle w:val="Prrafodelista"/>
        <w:numPr>
          <w:ilvl w:val="0"/>
          <w:numId w:val="24"/>
        </w:numPr>
        <w:spacing w:after="0"/>
        <w:ind w:left="567" w:hanging="567"/>
        <w:jc w:val="both"/>
        <w:rPr>
          <w:rFonts w:ascii="Verdana" w:hAnsi="Verdana"/>
          <w:sz w:val="20"/>
          <w:szCs w:val="20"/>
        </w:rPr>
      </w:pPr>
      <w:r w:rsidRPr="0055201E">
        <w:rPr>
          <w:rFonts w:ascii="Verdana" w:hAnsi="Verdana"/>
          <w:sz w:val="20"/>
          <w:szCs w:val="20"/>
        </w:rPr>
        <w:t xml:space="preserve">Contar con políticas y procedimientos para el suministro de la información a los deudores señalada en el </w:t>
      </w:r>
      <w:r w:rsidR="00633A5F">
        <w:rPr>
          <w:rFonts w:ascii="Verdana" w:hAnsi="Verdana"/>
          <w:sz w:val="20"/>
          <w:szCs w:val="20"/>
        </w:rPr>
        <w:t>párrafo 1.1.2.22</w:t>
      </w:r>
      <w:r w:rsidRPr="0055201E">
        <w:rPr>
          <w:rFonts w:ascii="Verdana" w:hAnsi="Verdana"/>
          <w:sz w:val="20"/>
          <w:szCs w:val="20"/>
        </w:rPr>
        <w:t>.</w:t>
      </w:r>
    </w:p>
    <w:p w14:paraId="7641019E" w14:textId="77777777" w:rsidR="0055201E" w:rsidRPr="0055201E" w:rsidRDefault="0055201E" w:rsidP="00766CA6">
      <w:pPr>
        <w:pStyle w:val="Prrafodelista"/>
        <w:jc w:val="both"/>
        <w:rPr>
          <w:rFonts w:ascii="Verdana" w:hAnsi="Verdana"/>
          <w:sz w:val="20"/>
          <w:szCs w:val="20"/>
        </w:rPr>
      </w:pPr>
    </w:p>
    <w:p w14:paraId="254BA4EF" w14:textId="61535592" w:rsidR="0055201E" w:rsidRDefault="0055201E" w:rsidP="00766CA6">
      <w:pPr>
        <w:pStyle w:val="Prrafodelista"/>
        <w:numPr>
          <w:ilvl w:val="0"/>
          <w:numId w:val="24"/>
        </w:numPr>
        <w:spacing w:after="0"/>
        <w:ind w:left="567" w:hanging="567"/>
        <w:jc w:val="both"/>
        <w:rPr>
          <w:rFonts w:ascii="Verdana" w:hAnsi="Verdana"/>
          <w:sz w:val="20"/>
          <w:szCs w:val="20"/>
        </w:rPr>
      </w:pPr>
      <w:r w:rsidRPr="0055201E">
        <w:rPr>
          <w:rFonts w:ascii="Verdana" w:hAnsi="Verdana"/>
          <w:sz w:val="20"/>
          <w:szCs w:val="20"/>
        </w:rPr>
        <w:t>Reportar a l</w:t>
      </w:r>
      <w:r>
        <w:rPr>
          <w:rFonts w:ascii="Verdana" w:hAnsi="Verdana"/>
          <w:sz w:val="20"/>
          <w:szCs w:val="20"/>
        </w:rPr>
        <w:t>o</w:t>
      </w:r>
      <w:r w:rsidRPr="0055201E">
        <w:rPr>
          <w:rFonts w:ascii="Verdana" w:hAnsi="Verdana"/>
          <w:sz w:val="20"/>
          <w:szCs w:val="20"/>
        </w:rPr>
        <w:t>s operadores de información la información sobre el comportamiento crediticio de sus deudores, conforme con lo señalado en la Ley 1266 de 2008, la Ley 2157 de 2021, y las demás normas que las modifiquen o sustituyan.</w:t>
      </w:r>
    </w:p>
    <w:p w14:paraId="62031AFF" w14:textId="77777777" w:rsidR="0055201E" w:rsidRPr="0055201E" w:rsidRDefault="0055201E" w:rsidP="00766CA6">
      <w:pPr>
        <w:pStyle w:val="Prrafodelista"/>
        <w:jc w:val="both"/>
        <w:rPr>
          <w:rFonts w:ascii="Verdana" w:hAnsi="Verdana"/>
          <w:sz w:val="20"/>
          <w:szCs w:val="20"/>
        </w:rPr>
      </w:pPr>
    </w:p>
    <w:p w14:paraId="190B24B7" w14:textId="77777777" w:rsidR="0055201E" w:rsidRDefault="0055201E" w:rsidP="00766CA6">
      <w:pPr>
        <w:pStyle w:val="Prrafodelista"/>
        <w:numPr>
          <w:ilvl w:val="0"/>
          <w:numId w:val="24"/>
        </w:numPr>
        <w:spacing w:after="0"/>
        <w:ind w:left="567" w:hanging="567"/>
        <w:jc w:val="both"/>
        <w:rPr>
          <w:rFonts w:ascii="Verdana" w:hAnsi="Verdana"/>
          <w:sz w:val="20"/>
          <w:szCs w:val="20"/>
        </w:rPr>
      </w:pPr>
      <w:r w:rsidRPr="0055201E">
        <w:rPr>
          <w:rFonts w:ascii="Verdana" w:hAnsi="Verdana"/>
          <w:sz w:val="20"/>
          <w:szCs w:val="20"/>
        </w:rPr>
        <w:t>Cumplir con las disposiciones legales que regulan las tasas de interés y sus límites máximos.</w:t>
      </w:r>
    </w:p>
    <w:p w14:paraId="5B8C3707" w14:textId="77777777" w:rsidR="0055201E" w:rsidRPr="0055201E" w:rsidRDefault="0055201E" w:rsidP="00766CA6">
      <w:pPr>
        <w:pStyle w:val="Prrafodelista"/>
        <w:jc w:val="both"/>
        <w:rPr>
          <w:rFonts w:ascii="Verdana" w:hAnsi="Verdana"/>
          <w:sz w:val="20"/>
          <w:szCs w:val="20"/>
        </w:rPr>
      </w:pPr>
    </w:p>
    <w:p w14:paraId="4E0BD294" w14:textId="77777777" w:rsidR="0055201E" w:rsidRDefault="0055201E" w:rsidP="00766CA6">
      <w:pPr>
        <w:pStyle w:val="Prrafodelista"/>
        <w:numPr>
          <w:ilvl w:val="0"/>
          <w:numId w:val="24"/>
        </w:numPr>
        <w:spacing w:after="0"/>
        <w:ind w:left="567" w:hanging="567"/>
        <w:jc w:val="both"/>
        <w:rPr>
          <w:rFonts w:ascii="Verdana" w:hAnsi="Verdana"/>
          <w:sz w:val="20"/>
          <w:szCs w:val="20"/>
        </w:rPr>
      </w:pPr>
      <w:r w:rsidRPr="0055201E">
        <w:rPr>
          <w:rFonts w:ascii="Verdana" w:hAnsi="Verdana"/>
          <w:sz w:val="20"/>
          <w:szCs w:val="20"/>
        </w:rPr>
        <w:t>En el caso de libranza, cumplir en todo momento con los límites máximos de descuento salarial, de conformidad con la legislación laboral vigente.</w:t>
      </w:r>
    </w:p>
    <w:p w14:paraId="369A63BD" w14:textId="77777777" w:rsidR="0055201E" w:rsidRPr="0055201E" w:rsidRDefault="0055201E" w:rsidP="00766CA6">
      <w:pPr>
        <w:pStyle w:val="Prrafodelista"/>
        <w:jc w:val="both"/>
        <w:rPr>
          <w:rFonts w:ascii="Verdana" w:hAnsi="Verdana"/>
          <w:sz w:val="20"/>
          <w:szCs w:val="20"/>
        </w:rPr>
      </w:pPr>
    </w:p>
    <w:p w14:paraId="64C97DF7" w14:textId="42973128" w:rsidR="00CD4285" w:rsidRDefault="0055201E" w:rsidP="00766CA6">
      <w:pPr>
        <w:pStyle w:val="Prrafodelista"/>
        <w:numPr>
          <w:ilvl w:val="0"/>
          <w:numId w:val="24"/>
        </w:numPr>
        <w:spacing w:after="0"/>
        <w:ind w:left="567" w:hanging="567"/>
        <w:jc w:val="both"/>
        <w:rPr>
          <w:rFonts w:ascii="Verdana" w:hAnsi="Verdana"/>
          <w:sz w:val="20"/>
          <w:szCs w:val="20"/>
        </w:rPr>
      </w:pPr>
      <w:r w:rsidRPr="0055201E">
        <w:rPr>
          <w:rFonts w:ascii="Verdana" w:hAnsi="Verdana"/>
          <w:sz w:val="20"/>
          <w:szCs w:val="20"/>
        </w:rPr>
        <w:t xml:space="preserve">Contar con la información sobre el comportamiento de los deudores de manera tal que el EC que adquiere la cartera pueda dar correcta aplicación a las disposiciones establecidas en el presente capítulo en relación con </w:t>
      </w:r>
      <w:r w:rsidR="003D6804">
        <w:rPr>
          <w:rFonts w:ascii="Verdana" w:hAnsi="Verdana"/>
          <w:sz w:val="20"/>
          <w:szCs w:val="20"/>
        </w:rPr>
        <w:t xml:space="preserve">la gestión del </w:t>
      </w:r>
      <w:r w:rsidRPr="0055201E">
        <w:rPr>
          <w:rFonts w:ascii="Verdana" w:hAnsi="Verdana"/>
          <w:sz w:val="20"/>
          <w:szCs w:val="20"/>
        </w:rPr>
        <w:t>riesgo de crédito. Esta información debe incluir, en todo caso, el comportamiento de pago histórico del deudor.</w:t>
      </w:r>
    </w:p>
    <w:p w14:paraId="142B11A1" w14:textId="77777777" w:rsidR="00CC015D" w:rsidRPr="00CC015D" w:rsidRDefault="00CC015D" w:rsidP="00766CA6">
      <w:pPr>
        <w:spacing w:after="0"/>
        <w:jc w:val="both"/>
        <w:rPr>
          <w:rFonts w:ascii="Verdana" w:hAnsi="Verdana"/>
          <w:sz w:val="20"/>
          <w:szCs w:val="20"/>
        </w:rPr>
      </w:pPr>
    </w:p>
    <w:p w14:paraId="6C3A23B4" w14:textId="008C772D" w:rsidR="002F3638" w:rsidRPr="002F3638" w:rsidRDefault="002F3638" w:rsidP="00766CA6">
      <w:pPr>
        <w:spacing w:after="0"/>
        <w:jc w:val="both"/>
        <w:rPr>
          <w:rFonts w:ascii="Verdana" w:hAnsi="Verdana"/>
          <w:sz w:val="20"/>
          <w:szCs w:val="20"/>
        </w:rPr>
      </w:pPr>
      <w:r w:rsidRPr="002F3638">
        <w:rPr>
          <w:rFonts w:ascii="Verdana" w:hAnsi="Verdana"/>
          <w:sz w:val="20"/>
          <w:szCs w:val="20"/>
        </w:rPr>
        <w:t>1.1.2.6</w:t>
      </w:r>
      <w:r>
        <w:rPr>
          <w:rFonts w:ascii="Verdana" w:hAnsi="Verdana"/>
          <w:sz w:val="20"/>
          <w:szCs w:val="20"/>
        </w:rPr>
        <w:t>6</w:t>
      </w:r>
      <w:r w:rsidRPr="002F3638">
        <w:rPr>
          <w:rFonts w:ascii="Verdana" w:hAnsi="Verdana"/>
          <w:sz w:val="20"/>
          <w:szCs w:val="20"/>
        </w:rPr>
        <w:t>.</w:t>
      </w:r>
    </w:p>
    <w:p w14:paraId="062B266B" w14:textId="2C3F3046" w:rsidR="004A5AC3" w:rsidRPr="004A5AC3" w:rsidRDefault="002F3638" w:rsidP="00766CA6">
      <w:pPr>
        <w:jc w:val="both"/>
        <w:rPr>
          <w:rFonts w:ascii="Verdana" w:hAnsi="Verdana"/>
          <w:b/>
          <w:bCs/>
          <w:sz w:val="20"/>
          <w:szCs w:val="20"/>
        </w:rPr>
      </w:pPr>
      <w:r w:rsidRPr="002F3638">
        <w:rPr>
          <w:rFonts w:ascii="Verdana" w:hAnsi="Verdana"/>
          <w:sz w:val="20"/>
          <w:szCs w:val="20"/>
        </w:rPr>
        <w:t>Los EC</w:t>
      </w:r>
      <w:r w:rsidR="004A5AC3">
        <w:rPr>
          <w:rFonts w:ascii="Verdana" w:hAnsi="Verdana"/>
          <w:b/>
          <w:bCs/>
          <w:sz w:val="20"/>
          <w:szCs w:val="20"/>
        </w:rPr>
        <w:t xml:space="preserve"> </w:t>
      </w:r>
      <w:r w:rsidR="004A5AC3" w:rsidRPr="004A5AC3">
        <w:rPr>
          <w:rFonts w:ascii="Verdana" w:hAnsi="Verdana"/>
          <w:sz w:val="20"/>
          <w:szCs w:val="20"/>
        </w:rPr>
        <w:t>deben atender los siguientes requisitos:</w:t>
      </w:r>
    </w:p>
    <w:p w14:paraId="50EC7B3E" w14:textId="10BEF0D3" w:rsidR="00BF0DA2" w:rsidRDefault="004A5AC3" w:rsidP="00766CA6">
      <w:pPr>
        <w:pStyle w:val="Prrafodelista"/>
        <w:numPr>
          <w:ilvl w:val="0"/>
          <w:numId w:val="25"/>
        </w:numPr>
        <w:ind w:left="567" w:hanging="567"/>
        <w:jc w:val="both"/>
        <w:rPr>
          <w:rFonts w:ascii="Verdana" w:hAnsi="Verdana"/>
          <w:sz w:val="20"/>
          <w:szCs w:val="20"/>
        </w:rPr>
      </w:pPr>
      <w:r w:rsidRPr="004A5AC3">
        <w:rPr>
          <w:rFonts w:ascii="Verdana" w:hAnsi="Verdana"/>
          <w:sz w:val="20"/>
          <w:szCs w:val="20"/>
        </w:rPr>
        <w:t>Incorporar en sus manuales de riesgo crediticio políticas y procedimientos explícitos para la selección de los originadores, l</w:t>
      </w:r>
      <w:r w:rsidR="003D6804">
        <w:rPr>
          <w:rFonts w:ascii="Verdana" w:hAnsi="Verdana"/>
          <w:sz w:val="20"/>
          <w:szCs w:val="20"/>
        </w:rPr>
        <w:t>a</w:t>
      </w:r>
      <w:r w:rsidRPr="004A5AC3">
        <w:rPr>
          <w:rFonts w:ascii="Verdana" w:hAnsi="Verdana"/>
          <w:sz w:val="20"/>
          <w:szCs w:val="20"/>
        </w:rPr>
        <w:t>s cuales deben contemplar como mínimo:</w:t>
      </w:r>
    </w:p>
    <w:p w14:paraId="03AA479F" w14:textId="77777777" w:rsidR="00650F03" w:rsidRPr="00650F03" w:rsidRDefault="00650F03" w:rsidP="00766CA6">
      <w:pPr>
        <w:pStyle w:val="Prrafodelista"/>
        <w:ind w:left="567"/>
        <w:jc w:val="both"/>
        <w:rPr>
          <w:rFonts w:ascii="Verdana" w:hAnsi="Verdana"/>
          <w:sz w:val="20"/>
          <w:szCs w:val="20"/>
        </w:rPr>
      </w:pPr>
    </w:p>
    <w:p w14:paraId="3344BF20" w14:textId="56B97ED9" w:rsidR="00650F03" w:rsidRDefault="00BF0DA2" w:rsidP="00766CA6">
      <w:pPr>
        <w:pStyle w:val="Prrafodelista"/>
        <w:numPr>
          <w:ilvl w:val="0"/>
          <w:numId w:val="26"/>
        </w:numPr>
        <w:ind w:left="1134" w:hanging="567"/>
        <w:jc w:val="both"/>
        <w:rPr>
          <w:rFonts w:ascii="Verdana" w:hAnsi="Verdana"/>
          <w:sz w:val="20"/>
          <w:szCs w:val="20"/>
        </w:rPr>
      </w:pPr>
      <w:r w:rsidRPr="00BF0DA2">
        <w:rPr>
          <w:rFonts w:ascii="Verdana" w:hAnsi="Verdana"/>
          <w:sz w:val="20"/>
          <w:szCs w:val="20"/>
        </w:rPr>
        <w:t>Criterios de selección del originador, dentro de los cuales debe</w:t>
      </w:r>
      <w:r w:rsidR="0011222A">
        <w:rPr>
          <w:rFonts w:ascii="Verdana" w:hAnsi="Verdana"/>
          <w:sz w:val="20"/>
          <w:szCs w:val="20"/>
        </w:rPr>
        <w:t>n</w:t>
      </w:r>
      <w:r w:rsidRPr="00BF0DA2">
        <w:rPr>
          <w:rFonts w:ascii="Verdana" w:hAnsi="Verdana"/>
          <w:sz w:val="20"/>
          <w:szCs w:val="20"/>
        </w:rPr>
        <w:t xml:space="preserve"> verificar, por lo menos, su trayectoria, experiencia en la actividad de </w:t>
      </w:r>
      <w:proofErr w:type="spellStart"/>
      <w:r w:rsidRPr="00BF0DA2">
        <w:rPr>
          <w:rFonts w:ascii="Verdana" w:hAnsi="Verdana"/>
          <w:sz w:val="20"/>
          <w:szCs w:val="20"/>
        </w:rPr>
        <w:t>originación</w:t>
      </w:r>
      <w:proofErr w:type="spellEnd"/>
      <w:r w:rsidRPr="00BF0DA2">
        <w:rPr>
          <w:rFonts w:ascii="Verdana" w:hAnsi="Verdana"/>
          <w:sz w:val="20"/>
          <w:szCs w:val="20"/>
        </w:rPr>
        <w:t xml:space="preserve"> de créditos y conocimiento del nicho de mercado que atiende.</w:t>
      </w:r>
    </w:p>
    <w:p w14:paraId="0F1170CA" w14:textId="77777777" w:rsidR="00650F03" w:rsidRDefault="00650F03" w:rsidP="00766CA6">
      <w:pPr>
        <w:pStyle w:val="Prrafodelista"/>
        <w:ind w:left="1134"/>
        <w:jc w:val="both"/>
        <w:rPr>
          <w:rFonts w:ascii="Verdana" w:hAnsi="Verdana"/>
          <w:sz w:val="20"/>
          <w:szCs w:val="20"/>
        </w:rPr>
      </w:pPr>
    </w:p>
    <w:p w14:paraId="53C9B4B7" w14:textId="77777777" w:rsidR="00650F03" w:rsidRDefault="00650F03" w:rsidP="00766CA6">
      <w:pPr>
        <w:pStyle w:val="Prrafodelista"/>
        <w:numPr>
          <w:ilvl w:val="0"/>
          <w:numId w:val="26"/>
        </w:numPr>
        <w:ind w:left="1134" w:hanging="567"/>
        <w:jc w:val="both"/>
        <w:rPr>
          <w:rFonts w:ascii="Verdana" w:hAnsi="Verdana"/>
          <w:sz w:val="20"/>
          <w:szCs w:val="20"/>
        </w:rPr>
      </w:pPr>
      <w:r w:rsidRPr="00650F03">
        <w:rPr>
          <w:rFonts w:ascii="Verdana" w:hAnsi="Verdana"/>
          <w:sz w:val="20"/>
          <w:szCs w:val="20"/>
        </w:rPr>
        <w:t>Parámetros para el análisis y estudio detallado de la situación patrimonial del originador.</w:t>
      </w:r>
    </w:p>
    <w:p w14:paraId="7C26B33C" w14:textId="77777777" w:rsidR="00650F03" w:rsidRPr="00650F03" w:rsidRDefault="00650F03" w:rsidP="00766CA6">
      <w:pPr>
        <w:pStyle w:val="Prrafodelista"/>
        <w:jc w:val="both"/>
        <w:rPr>
          <w:rFonts w:ascii="Verdana" w:hAnsi="Verdana"/>
          <w:sz w:val="20"/>
          <w:szCs w:val="20"/>
        </w:rPr>
      </w:pPr>
    </w:p>
    <w:p w14:paraId="0C89394C" w14:textId="1F1F250A" w:rsidR="00BF0DA2" w:rsidRDefault="00650F03" w:rsidP="00766CA6">
      <w:pPr>
        <w:pStyle w:val="Prrafodelista"/>
        <w:numPr>
          <w:ilvl w:val="0"/>
          <w:numId w:val="26"/>
        </w:numPr>
        <w:ind w:left="1134" w:hanging="567"/>
        <w:jc w:val="both"/>
        <w:rPr>
          <w:rFonts w:ascii="Verdana" w:hAnsi="Verdana"/>
          <w:sz w:val="20"/>
          <w:szCs w:val="20"/>
        </w:rPr>
      </w:pPr>
      <w:r w:rsidRPr="00650F03">
        <w:rPr>
          <w:rFonts w:ascii="Verdana" w:hAnsi="Verdana"/>
          <w:sz w:val="20"/>
          <w:szCs w:val="20"/>
        </w:rPr>
        <w:t>Lineamientos de diversificación por producto y por originador, estableciendo límites máximos de concentración los cuales deben tener en cuenta tanto los cupos para compras de cartera como los cupos de crédito otorgados al originador.</w:t>
      </w:r>
    </w:p>
    <w:p w14:paraId="5014CAA6" w14:textId="77777777" w:rsidR="00650F03" w:rsidRPr="00650F03" w:rsidRDefault="00650F03" w:rsidP="00766CA6">
      <w:pPr>
        <w:pStyle w:val="Prrafodelista"/>
        <w:jc w:val="both"/>
        <w:rPr>
          <w:rFonts w:ascii="Verdana" w:hAnsi="Verdana"/>
          <w:sz w:val="20"/>
          <w:szCs w:val="20"/>
        </w:rPr>
      </w:pPr>
    </w:p>
    <w:p w14:paraId="654BA63A" w14:textId="4375BCAC" w:rsidR="00650F03" w:rsidRPr="00650F03" w:rsidRDefault="00650F03" w:rsidP="00766CA6">
      <w:pPr>
        <w:pStyle w:val="Prrafodelista"/>
        <w:numPr>
          <w:ilvl w:val="0"/>
          <w:numId w:val="25"/>
        </w:numPr>
        <w:ind w:left="567" w:hanging="567"/>
        <w:jc w:val="both"/>
        <w:rPr>
          <w:rFonts w:ascii="Verdana" w:hAnsi="Verdana"/>
          <w:sz w:val="20"/>
          <w:szCs w:val="20"/>
        </w:rPr>
      </w:pPr>
      <w:r w:rsidRPr="00650F03">
        <w:rPr>
          <w:rFonts w:ascii="Verdana" w:hAnsi="Verdana"/>
          <w:sz w:val="20"/>
          <w:szCs w:val="20"/>
        </w:rPr>
        <w:t>Conocer y tener debidamente documentadas las políticas y procedimientos de crédito del originador en cada uno de los procesos (otorgamiento, monitoreo y recuperación).</w:t>
      </w:r>
    </w:p>
    <w:p w14:paraId="09938C23" w14:textId="77777777" w:rsidR="00650F03" w:rsidRDefault="00650F03" w:rsidP="00766CA6">
      <w:pPr>
        <w:pStyle w:val="Prrafodelista"/>
        <w:ind w:left="567"/>
        <w:jc w:val="both"/>
        <w:rPr>
          <w:rFonts w:ascii="Verdana" w:hAnsi="Verdana"/>
          <w:sz w:val="20"/>
          <w:szCs w:val="20"/>
        </w:rPr>
      </w:pPr>
    </w:p>
    <w:p w14:paraId="22B765D6" w14:textId="77777777" w:rsidR="00CB3865" w:rsidRDefault="004A5AC3" w:rsidP="00766CA6">
      <w:pPr>
        <w:pStyle w:val="Prrafodelista"/>
        <w:numPr>
          <w:ilvl w:val="0"/>
          <w:numId w:val="25"/>
        </w:numPr>
        <w:ind w:left="567" w:hanging="567"/>
        <w:jc w:val="both"/>
        <w:rPr>
          <w:rFonts w:ascii="Verdana" w:hAnsi="Verdana"/>
          <w:sz w:val="20"/>
          <w:szCs w:val="20"/>
        </w:rPr>
      </w:pPr>
      <w:r w:rsidRPr="00650F03">
        <w:rPr>
          <w:rFonts w:ascii="Verdana" w:hAnsi="Verdana"/>
          <w:sz w:val="20"/>
          <w:szCs w:val="20"/>
        </w:rPr>
        <w:t>Establecer los criterios mínimos de selección de los créditos objeto de compra, en cuanto a perfil de riesgo y capacidad de pago de los deudores.</w:t>
      </w:r>
    </w:p>
    <w:p w14:paraId="70CA95AF" w14:textId="77777777" w:rsidR="00CB3865" w:rsidRPr="00CB3865" w:rsidRDefault="00CB3865" w:rsidP="00766CA6">
      <w:pPr>
        <w:pStyle w:val="Prrafodelista"/>
        <w:jc w:val="both"/>
        <w:rPr>
          <w:rFonts w:ascii="Verdana" w:hAnsi="Verdana"/>
          <w:sz w:val="20"/>
          <w:szCs w:val="20"/>
        </w:rPr>
      </w:pPr>
    </w:p>
    <w:p w14:paraId="4D053EFA" w14:textId="77777777" w:rsidR="00CB3865" w:rsidRDefault="004A5AC3" w:rsidP="00766CA6">
      <w:pPr>
        <w:pStyle w:val="Prrafodelista"/>
        <w:numPr>
          <w:ilvl w:val="0"/>
          <w:numId w:val="25"/>
        </w:numPr>
        <w:ind w:left="567" w:hanging="567"/>
        <w:jc w:val="both"/>
        <w:rPr>
          <w:rFonts w:ascii="Verdana" w:hAnsi="Verdana"/>
          <w:sz w:val="20"/>
          <w:szCs w:val="20"/>
        </w:rPr>
      </w:pPr>
      <w:r w:rsidRPr="00CB3865">
        <w:rPr>
          <w:rFonts w:ascii="Verdana" w:hAnsi="Verdana"/>
          <w:sz w:val="20"/>
          <w:szCs w:val="20"/>
        </w:rPr>
        <w:t>Establecer mecanismos que garanticen la custodia, conservación y consulta de la documentación de los créditos objeto de compra, incluyendo aquella relacionada con las garantías.</w:t>
      </w:r>
    </w:p>
    <w:p w14:paraId="5D4DD4B6" w14:textId="77777777" w:rsidR="00CB3865" w:rsidRPr="00CB3865" w:rsidRDefault="00CB3865" w:rsidP="00766CA6">
      <w:pPr>
        <w:pStyle w:val="Prrafodelista"/>
        <w:jc w:val="both"/>
        <w:rPr>
          <w:rFonts w:ascii="Verdana" w:hAnsi="Verdana"/>
          <w:sz w:val="20"/>
          <w:szCs w:val="20"/>
        </w:rPr>
      </w:pPr>
    </w:p>
    <w:p w14:paraId="5B762B80" w14:textId="65641EFA" w:rsidR="004A5AC3" w:rsidRPr="00CB3865" w:rsidRDefault="004A5AC3" w:rsidP="00766CA6">
      <w:pPr>
        <w:pStyle w:val="Prrafodelista"/>
        <w:numPr>
          <w:ilvl w:val="0"/>
          <w:numId w:val="25"/>
        </w:numPr>
        <w:ind w:left="567" w:hanging="567"/>
        <w:jc w:val="both"/>
        <w:rPr>
          <w:rFonts w:ascii="Verdana" w:hAnsi="Verdana"/>
          <w:sz w:val="20"/>
          <w:szCs w:val="20"/>
        </w:rPr>
      </w:pPr>
      <w:r w:rsidRPr="00CB3865">
        <w:rPr>
          <w:rFonts w:ascii="Verdana" w:hAnsi="Verdana"/>
          <w:sz w:val="20"/>
          <w:szCs w:val="20"/>
        </w:rPr>
        <w:t>En los eventos en que el tipo de cartera de créditos objeto de compra no haga parte del nicho de mercado del EC, se deben informar previamente a la SFC las políticas y estrategias implementadas para el acceso al nuevo mercado.</w:t>
      </w:r>
    </w:p>
    <w:p w14:paraId="1B7AD145" w14:textId="75E423D8" w:rsidR="00CB3865" w:rsidRPr="00CB3865" w:rsidRDefault="00CB3865" w:rsidP="00766CA6">
      <w:pPr>
        <w:spacing w:after="0"/>
        <w:jc w:val="both"/>
        <w:rPr>
          <w:rFonts w:ascii="Verdana" w:hAnsi="Verdana"/>
          <w:sz w:val="20"/>
          <w:szCs w:val="20"/>
        </w:rPr>
      </w:pPr>
      <w:r w:rsidRPr="00CB3865">
        <w:rPr>
          <w:rFonts w:ascii="Verdana" w:hAnsi="Verdana"/>
          <w:sz w:val="20"/>
          <w:szCs w:val="20"/>
        </w:rPr>
        <w:t>1.1.2.6</w:t>
      </w:r>
      <w:r w:rsidR="00021155">
        <w:rPr>
          <w:rFonts w:ascii="Verdana" w:hAnsi="Verdana"/>
          <w:sz w:val="20"/>
          <w:szCs w:val="20"/>
        </w:rPr>
        <w:t>7</w:t>
      </w:r>
      <w:r w:rsidRPr="00CB3865">
        <w:rPr>
          <w:rFonts w:ascii="Verdana" w:hAnsi="Verdana"/>
          <w:sz w:val="20"/>
          <w:szCs w:val="20"/>
        </w:rPr>
        <w:t>.</w:t>
      </w:r>
    </w:p>
    <w:p w14:paraId="2AD28F6F" w14:textId="0046646B" w:rsidR="000209E8" w:rsidRDefault="004A5AC3" w:rsidP="00766CA6">
      <w:pPr>
        <w:jc w:val="both"/>
        <w:rPr>
          <w:rFonts w:ascii="Verdana" w:hAnsi="Verdana"/>
          <w:sz w:val="20"/>
          <w:szCs w:val="20"/>
        </w:rPr>
      </w:pPr>
      <w:r w:rsidRPr="00CB3865">
        <w:rPr>
          <w:rFonts w:ascii="Verdana" w:hAnsi="Verdana"/>
          <w:sz w:val="20"/>
          <w:szCs w:val="20"/>
        </w:rPr>
        <w:t xml:space="preserve">Las anteriores políticas y mecanismos deben ser aprobados por la JD y ser revisados periódicamente a fin de que se ajusten en todo momento a las condiciones particulares de la entidad y del mercado, así como al plan de negocio </w:t>
      </w:r>
      <w:r w:rsidR="00F74FD1">
        <w:rPr>
          <w:rFonts w:ascii="Verdana" w:hAnsi="Verdana"/>
          <w:sz w:val="20"/>
          <w:szCs w:val="20"/>
        </w:rPr>
        <w:t>y</w:t>
      </w:r>
      <w:r w:rsidRPr="00CB3865">
        <w:rPr>
          <w:rFonts w:ascii="Verdana" w:hAnsi="Verdana"/>
          <w:sz w:val="20"/>
          <w:szCs w:val="20"/>
        </w:rPr>
        <w:t xml:space="preserve"> apetito de riesgo.</w:t>
      </w:r>
    </w:p>
    <w:p w14:paraId="4B75B06B" w14:textId="0A2EF522" w:rsidR="000209E8" w:rsidRPr="009840C0" w:rsidRDefault="000209E8" w:rsidP="00766CA6">
      <w:pPr>
        <w:jc w:val="both"/>
        <w:rPr>
          <w:rFonts w:ascii="Verdana" w:hAnsi="Verdana"/>
          <w:b/>
          <w:bCs/>
          <w:sz w:val="20"/>
          <w:szCs w:val="20"/>
        </w:rPr>
      </w:pPr>
      <w:r w:rsidRPr="009840C0">
        <w:rPr>
          <w:rFonts w:ascii="Verdana" w:hAnsi="Verdana"/>
          <w:b/>
          <w:bCs/>
          <w:sz w:val="20"/>
          <w:szCs w:val="20"/>
        </w:rPr>
        <w:t>Sistemas de información</w:t>
      </w:r>
    </w:p>
    <w:p w14:paraId="29C0FA28" w14:textId="239E90A5" w:rsidR="009840C0" w:rsidRPr="002F3638" w:rsidRDefault="009840C0" w:rsidP="00766CA6">
      <w:pPr>
        <w:spacing w:after="0"/>
        <w:jc w:val="both"/>
        <w:rPr>
          <w:rFonts w:ascii="Verdana" w:hAnsi="Verdana"/>
          <w:sz w:val="20"/>
          <w:szCs w:val="20"/>
        </w:rPr>
      </w:pPr>
      <w:r w:rsidRPr="002F3638">
        <w:rPr>
          <w:rFonts w:ascii="Verdana" w:hAnsi="Verdana"/>
          <w:sz w:val="20"/>
          <w:szCs w:val="20"/>
        </w:rPr>
        <w:t>1.1.2.6</w:t>
      </w:r>
      <w:r>
        <w:rPr>
          <w:rFonts w:ascii="Verdana" w:hAnsi="Verdana"/>
          <w:sz w:val="20"/>
          <w:szCs w:val="20"/>
        </w:rPr>
        <w:t>8</w:t>
      </w:r>
      <w:r w:rsidRPr="002F3638">
        <w:rPr>
          <w:rFonts w:ascii="Verdana" w:hAnsi="Verdana"/>
          <w:sz w:val="20"/>
          <w:szCs w:val="20"/>
        </w:rPr>
        <w:t>.</w:t>
      </w:r>
    </w:p>
    <w:p w14:paraId="3318C44E" w14:textId="4D493063" w:rsidR="000209E8" w:rsidRPr="009840C0" w:rsidRDefault="000209E8" w:rsidP="00766CA6">
      <w:pPr>
        <w:jc w:val="both"/>
        <w:rPr>
          <w:rFonts w:ascii="Verdana" w:hAnsi="Verdana"/>
          <w:b/>
          <w:bCs/>
          <w:sz w:val="20"/>
          <w:szCs w:val="20"/>
        </w:rPr>
      </w:pPr>
      <w:r w:rsidRPr="000209E8">
        <w:rPr>
          <w:rFonts w:ascii="Verdana" w:hAnsi="Verdana"/>
          <w:sz w:val="20"/>
          <w:szCs w:val="20"/>
        </w:rPr>
        <w:t>La entidad debe contar con sistemas de información que, como mínimo, le permitan:</w:t>
      </w:r>
    </w:p>
    <w:p w14:paraId="2DB7D229" w14:textId="77777777" w:rsidR="009840C0" w:rsidRDefault="000209E8" w:rsidP="00766CA6">
      <w:pPr>
        <w:pStyle w:val="Prrafodelista"/>
        <w:numPr>
          <w:ilvl w:val="0"/>
          <w:numId w:val="27"/>
        </w:numPr>
        <w:ind w:left="567" w:hanging="567"/>
        <w:jc w:val="both"/>
        <w:rPr>
          <w:rFonts w:ascii="Verdana" w:hAnsi="Verdana"/>
          <w:sz w:val="20"/>
          <w:szCs w:val="20"/>
        </w:rPr>
      </w:pPr>
      <w:r w:rsidRPr="009840C0">
        <w:rPr>
          <w:rFonts w:ascii="Verdana" w:hAnsi="Verdana"/>
          <w:sz w:val="20"/>
          <w:szCs w:val="20"/>
        </w:rPr>
        <w:t>Recoger y actualizar permanentemente la información sobre la condición o situación de pago de sus deudores, así como cualquier modificación que se presente sobre la misma al momento en que ésta se produzca.</w:t>
      </w:r>
    </w:p>
    <w:p w14:paraId="0AFBF32A" w14:textId="77777777" w:rsidR="009840C0" w:rsidRDefault="009840C0" w:rsidP="00766CA6">
      <w:pPr>
        <w:pStyle w:val="Prrafodelista"/>
        <w:ind w:left="567"/>
        <w:jc w:val="both"/>
        <w:rPr>
          <w:rFonts w:ascii="Verdana" w:hAnsi="Verdana"/>
          <w:sz w:val="20"/>
          <w:szCs w:val="20"/>
        </w:rPr>
      </w:pPr>
    </w:p>
    <w:p w14:paraId="6A75E692" w14:textId="17CD188A" w:rsidR="000209E8" w:rsidRPr="009840C0" w:rsidRDefault="000209E8" w:rsidP="00766CA6">
      <w:pPr>
        <w:pStyle w:val="Prrafodelista"/>
        <w:numPr>
          <w:ilvl w:val="0"/>
          <w:numId w:val="27"/>
        </w:numPr>
        <w:ind w:left="567" w:hanging="567"/>
        <w:jc w:val="both"/>
        <w:rPr>
          <w:rFonts w:ascii="Verdana" w:hAnsi="Verdana"/>
          <w:sz w:val="20"/>
          <w:szCs w:val="20"/>
        </w:rPr>
      </w:pPr>
      <w:r w:rsidRPr="009840C0">
        <w:rPr>
          <w:rFonts w:ascii="Verdana" w:hAnsi="Verdana"/>
          <w:sz w:val="20"/>
          <w:szCs w:val="20"/>
        </w:rPr>
        <w:t xml:space="preserve">Mantener los expedientes de crédito de los respectivos deudores y las bases de datos que sustenten los modelos de gestión de riesgos. En el expediente de crédito del deudor se debe mantener actualizada y completa su información sociodemográfica y financiera, la información de las garantías y demás aspectos considerados </w:t>
      </w:r>
      <w:r w:rsidR="003C5B94">
        <w:rPr>
          <w:rFonts w:ascii="Verdana" w:hAnsi="Verdana"/>
          <w:sz w:val="20"/>
          <w:szCs w:val="20"/>
        </w:rPr>
        <w:t>según las</w:t>
      </w:r>
      <w:r w:rsidRPr="009840C0">
        <w:rPr>
          <w:rFonts w:ascii="Verdana" w:hAnsi="Verdana"/>
          <w:sz w:val="20"/>
          <w:szCs w:val="20"/>
        </w:rPr>
        <w:t xml:space="preserve"> metodologías de otorgamiento y monitoreo, y la correspondencia con el deudor. En aquellos eventos en que un crédito haya sido objeto de modificación en los términos de</w:t>
      </w:r>
      <w:r w:rsidR="001A3255">
        <w:rPr>
          <w:rFonts w:ascii="Verdana" w:hAnsi="Verdana"/>
          <w:sz w:val="20"/>
          <w:szCs w:val="20"/>
        </w:rPr>
        <w:t xml:space="preserve"> los párrafos 1.1.2.</w:t>
      </w:r>
      <w:r w:rsidR="004542EC">
        <w:rPr>
          <w:rFonts w:ascii="Verdana" w:hAnsi="Verdana"/>
          <w:sz w:val="20"/>
          <w:szCs w:val="20"/>
        </w:rPr>
        <w:t>50. y 1.1</w:t>
      </w:r>
      <w:r w:rsidR="004542EC" w:rsidRPr="004542EC">
        <w:rPr>
          <w:rFonts w:ascii="Verdana" w:hAnsi="Verdana"/>
          <w:sz w:val="20"/>
          <w:szCs w:val="20"/>
        </w:rPr>
        <w:t>.2.51. o cuando sea</w:t>
      </w:r>
      <w:r w:rsidRPr="004542EC">
        <w:rPr>
          <w:rFonts w:ascii="Verdana" w:hAnsi="Verdana"/>
          <w:sz w:val="20"/>
          <w:szCs w:val="20"/>
        </w:rPr>
        <w:t xml:space="preserve"> </w:t>
      </w:r>
      <w:r w:rsidR="004542EC" w:rsidRPr="004542EC">
        <w:rPr>
          <w:rFonts w:ascii="Verdana" w:hAnsi="Verdana"/>
          <w:sz w:val="20"/>
          <w:szCs w:val="20"/>
        </w:rPr>
        <w:t>restructurado</w:t>
      </w:r>
      <w:r w:rsidRPr="004542EC">
        <w:rPr>
          <w:rFonts w:ascii="Verdana" w:hAnsi="Verdana"/>
          <w:sz w:val="20"/>
          <w:szCs w:val="20"/>
        </w:rPr>
        <w:t xml:space="preserve"> conforme a las instrucciones </w:t>
      </w:r>
      <w:r w:rsidR="004542EC" w:rsidRPr="004542EC">
        <w:rPr>
          <w:rFonts w:ascii="Verdana" w:hAnsi="Verdana"/>
          <w:sz w:val="20"/>
          <w:szCs w:val="20"/>
        </w:rPr>
        <w:t>previstas entre los párrafos 1.1.2.54. y 1.1.2.62.</w:t>
      </w:r>
      <w:r w:rsidR="00CB50D4">
        <w:rPr>
          <w:rFonts w:ascii="Verdana" w:hAnsi="Verdana"/>
          <w:sz w:val="20"/>
          <w:szCs w:val="20"/>
        </w:rPr>
        <w:t xml:space="preserve"> de la presente sección</w:t>
      </w:r>
      <w:r w:rsidRPr="009840C0">
        <w:rPr>
          <w:rFonts w:ascii="Verdana" w:hAnsi="Verdana"/>
          <w:sz w:val="20"/>
          <w:szCs w:val="20"/>
        </w:rPr>
        <w:t xml:space="preserve">, el expediente debe contener el análisis que realizó la entidad para la aprobación de la </w:t>
      </w:r>
      <w:r w:rsidR="00705205" w:rsidRPr="00705205">
        <w:rPr>
          <w:rFonts w:ascii="Verdana" w:hAnsi="Verdana"/>
          <w:sz w:val="20"/>
          <w:szCs w:val="20"/>
        </w:rPr>
        <w:t>modificación o reestructuración</w:t>
      </w:r>
      <w:r w:rsidR="00705205">
        <w:rPr>
          <w:rFonts w:ascii="Verdana" w:hAnsi="Verdana"/>
          <w:sz w:val="20"/>
          <w:szCs w:val="20"/>
        </w:rPr>
        <w:t xml:space="preserve"> de la </w:t>
      </w:r>
      <w:r w:rsidR="00CB50D4">
        <w:rPr>
          <w:rFonts w:ascii="Verdana" w:hAnsi="Verdana"/>
          <w:sz w:val="20"/>
          <w:szCs w:val="20"/>
        </w:rPr>
        <w:t>operación</w:t>
      </w:r>
      <w:r w:rsidRPr="009840C0">
        <w:rPr>
          <w:rFonts w:ascii="Verdana" w:hAnsi="Verdana"/>
          <w:sz w:val="20"/>
          <w:szCs w:val="20"/>
        </w:rPr>
        <w:t xml:space="preserve">. Dicha información debe </w:t>
      </w:r>
      <w:r w:rsidR="007F5E4E">
        <w:rPr>
          <w:rFonts w:ascii="Verdana" w:hAnsi="Verdana"/>
          <w:sz w:val="20"/>
          <w:szCs w:val="20"/>
        </w:rPr>
        <w:t>mantenerse</w:t>
      </w:r>
      <w:r w:rsidRPr="009840C0">
        <w:rPr>
          <w:rFonts w:ascii="Verdana" w:hAnsi="Verdana"/>
          <w:sz w:val="20"/>
          <w:szCs w:val="20"/>
        </w:rPr>
        <w:t xml:space="preserve"> a disposición de la SFC.</w:t>
      </w:r>
    </w:p>
    <w:p w14:paraId="0B3CF1AD" w14:textId="77777777" w:rsidR="009840C0" w:rsidRDefault="009840C0" w:rsidP="00766CA6">
      <w:pPr>
        <w:pStyle w:val="Prrafodelista"/>
        <w:jc w:val="both"/>
        <w:rPr>
          <w:rFonts w:ascii="Verdana" w:hAnsi="Verdana"/>
          <w:sz w:val="20"/>
          <w:szCs w:val="20"/>
        </w:rPr>
      </w:pPr>
    </w:p>
    <w:p w14:paraId="5A8B289D" w14:textId="2A0B36AA" w:rsidR="000209E8" w:rsidRPr="009840C0" w:rsidRDefault="000209E8" w:rsidP="00766CA6">
      <w:pPr>
        <w:pStyle w:val="Prrafodelista"/>
        <w:numPr>
          <w:ilvl w:val="0"/>
          <w:numId w:val="2"/>
        </w:numPr>
        <w:ind w:left="284" w:hanging="284"/>
        <w:jc w:val="both"/>
        <w:rPr>
          <w:rFonts w:ascii="Verdana" w:hAnsi="Verdana"/>
          <w:b/>
          <w:bCs/>
          <w:sz w:val="20"/>
          <w:szCs w:val="20"/>
        </w:rPr>
      </w:pPr>
      <w:r w:rsidRPr="009840C0">
        <w:rPr>
          <w:rFonts w:ascii="Verdana" w:hAnsi="Verdana"/>
          <w:b/>
          <w:bCs/>
          <w:sz w:val="20"/>
          <w:szCs w:val="20"/>
        </w:rPr>
        <w:t>Requisitos mínimos de los sistemas de información y bases de datos</w:t>
      </w:r>
    </w:p>
    <w:p w14:paraId="4A953FD2" w14:textId="4E329A90" w:rsidR="009840C0" w:rsidRPr="009840C0" w:rsidRDefault="009840C0" w:rsidP="00766CA6">
      <w:pPr>
        <w:spacing w:after="0"/>
        <w:jc w:val="both"/>
        <w:rPr>
          <w:rFonts w:ascii="Verdana" w:hAnsi="Verdana"/>
          <w:sz w:val="20"/>
          <w:szCs w:val="20"/>
        </w:rPr>
      </w:pPr>
      <w:r w:rsidRPr="009840C0">
        <w:rPr>
          <w:rFonts w:ascii="Verdana" w:hAnsi="Verdana"/>
          <w:sz w:val="20"/>
          <w:szCs w:val="20"/>
        </w:rPr>
        <w:t>1.1.2.6</w:t>
      </w:r>
      <w:r>
        <w:rPr>
          <w:rFonts w:ascii="Verdana" w:hAnsi="Verdana"/>
          <w:sz w:val="20"/>
          <w:szCs w:val="20"/>
        </w:rPr>
        <w:t>9</w:t>
      </w:r>
      <w:r w:rsidRPr="009840C0">
        <w:rPr>
          <w:rFonts w:ascii="Verdana" w:hAnsi="Verdana"/>
          <w:sz w:val="20"/>
          <w:szCs w:val="20"/>
        </w:rPr>
        <w:t>.</w:t>
      </w:r>
    </w:p>
    <w:p w14:paraId="2F9EC6F4" w14:textId="77777777" w:rsidR="009840C0" w:rsidRDefault="000209E8" w:rsidP="00766CA6">
      <w:pPr>
        <w:jc w:val="both"/>
        <w:rPr>
          <w:rFonts w:ascii="Verdana" w:hAnsi="Verdana"/>
          <w:b/>
          <w:bCs/>
          <w:sz w:val="20"/>
          <w:szCs w:val="20"/>
        </w:rPr>
      </w:pPr>
      <w:r w:rsidRPr="000209E8">
        <w:rPr>
          <w:rFonts w:ascii="Verdana" w:hAnsi="Verdana"/>
          <w:sz w:val="20"/>
          <w:szCs w:val="20"/>
        </w:rPr>
        <w:t>El sistema que se adopte para el efecto debe contar con:</w:t>
      </w:r>
    </w:p>
    <w:p w14:paraId="7A3E06EA" w14:textId="77777777" w:rsidR="009840C0" w:rsidRPr="009840C0" w:rsidRDefault="000209E8" w:rsidP="00766CA6">
      <w:pPr>
        <w:pStyle w:val="Prrafodelista"/>
        <w:numPr>
          <w:ilvl w:val="0"/>
          <w:numId w:val="28"/>
        </w:numPr>
        <w:ind w:left="567" w:hanging="567"/>
        <w:jc w:val="both"/>
        <w:rPr>
          <w:rFonts w:ascii="Verdana" w:hAnsi="Verdana"/>
          <w:b/>
          <w:bCs/>
          <w:sz w:val="20"/>
          <w:szCs w:val="20"/>
        </w:rPr>
      </w:pPr>
      <w:r w:rsidRPr="009840C0">
        <w:rPr>
          <w:rFonts w:ascii="Verdana" w:hAnsi="Verdana"/>
          <w:sz w:val="20"/>
          <w:szCs w:val="20"/>
        </w:rPr>
        <w:t>Un mecanismo que permita reflejar de manera ágil e inmediata cualquier cambio en la situación de pago del deudor, de manera que la información sobre él sea veraz, completa y actualizada, acorde con el derecho fundamental al habeas data.</w:t>
      </w:r>
    </w:p>
    <w:p w14:paraId="2DF55E75" w14:textId="77777777" w:rsidR="009840C0" w:rsidRPr="009840C0" w:rsidRDefault="009840C0" w:rsidP="00766CA6">
      <w:pPr>
        <w:pStyle w:val="Prrafodelista"/>
        <w:ind w:left="567"/>
        <w:jc w:val="both"/>
        <w:rPr>
          <w:rFonts w:ascii="Verdana" w:hAnsi="Verdana"/>
          <w:b/>
          <w:bCs/>
          <w:sz w:val="20"/>
          <w:szCs w:val="20"/>
        </w:rPr>
      </w:pPr>
    </w:p>
    <w:p w14:paraId="07CC3E98" w14:textId="7665527F" w:rsidR="009840C0" w:rsidRPr="009840C0" w:rsidRDefault="000209E8" w:rsidP="00766CA6">
      <w:pPr>
        <w:pStyle w:val="Prrafodelista"/>
        <w:numPr>
          <w:ilvl w:val="0"/>
          <w:numId w:val="28"/>
        </w:numPr>
        <w:ind w:left="567" w:hanging="567"/>
        <w:jc w:val="both"/>
        <w:rPr>
          <w:rFonts w:ascii="Verdana" w:hAnsi="Verdana"/>
          <w:b/>
          <w:bCs/>
          <w:sz w:val="20"/>
          <w:szCs w:val="20"/>
        </w:rPr>
      </w:pPr>
      <w:r w:rsidRPr="009840C0">
        <w:rPr>
          <w:rFonts w:ascii="Verdana" w:hAnsi="Verdana"/>
          <w:sz w:val="20"/>
          <w:szCs w:val="20"/>
        </w:rPr>
        <w:t xml:space="preserve">Un </w:t>
      </w:r>
      <w:r w:rsidR="00051FDE">
        <w:rPr>
          <w:rFonts w:ascii="Verdana" w:hAnsi="Verdana"/>
          <w:sz w:val="20"/>
          <w:szCs w:val="20"/>
        </w:rPr>
        <w:t xml:space="preserve">área </w:t>
      </w:r>
      <w:r w:rsidR="00605333">
        <w:rPr>
          <w:rFonts w:ascii="Verdana" w:hAnsi="Verdana"/>
          <w:sz w:val="20"/>
          <w:szCs w:val="20"/>
        </w:rPr>
        <w:t>funcional</w:t>
      </w:r>
      <w:r w:rsidRPr="009840C0">
        <w:rPr>
          <w:rFonts w:ascii="Verdana" w:hAnsi="Verdana"/>
          <w:sz w:val="20"/>
          <w:szCs w:val="20"/>
        </w:rPr>
        <w:t xml:space="preserve"> designad</w:t>
      </w:r>
      <w:r w:rsidR="00D95F6E">
        <w:rPr>
          <w:rFonts w:ascii="Verdana" w:hAnsi="Verdana"/>
          <w:sz w:val="20"/>
          <w:szCs w:val="20"/>
        </w:rPr>
        <w:t>a</w:t>
      </w:r>
      <w:r w:rsidRPr="009840C0">
        <w:rPr>
          <w:rFonts w:ascii="Verdana" w:hAnsi="Verdana"/>
          <w:sz w:val="20"/>
          <w:szCs w:val="20"/>
        </w:rPr>
        <w:t xml:space="preserve"> por el representante legal principal, encargad</w:t>
      </w:r>
      <w:r w:rsidR="00605333">
        <w:rPr>
          <w:rFonts w:ascii="Verdana" w:hAnsi="Verdana"/>
          <w:sz w:val="20"/>
          <w:szCs w:val="20"/>
        </w:rPr>
        <w:t>a</w:t>
      </w:r>
      <w:r w:rsidRPr="009840C0">
        <w:rPr>
          <w:rFonts w:ascii="Verdana" w:hAnsi="Verdana"/>
          <w:sz w:val="20"/>
          <w:szCs w:val="20"/>
        </w:rPr>
        <w:t xml:space="preserve"> del permanente control y monitoreo de los aplicativos de la entidad. Lo anterior con el propósito de garantizar el registro inmediato y la continua actualización de la situación de cumplimiento o incumplimiento de las obligaciones de cada uno de los deudores y su oportuna remisión a los respectivos operadores de información. El representante legal principal debe evaluar el cumplimiento de esta función.</w:t>
      </w:r>
    </w:p>
    <w:p w14:paraId="418A0AF6" w14:textId="77777777" w:rsidR="009840C0" w:rsidRPr="009840C0" w:rsidRDefault="009840C0" w:rsidP="00766CA6">
      <w:pPr>
        <w:pStyle w:val="Prrafodelista"/>
        <w:jc w:val="both"/>
        <w:rPr>
          <w:rFonts w:ascii="Verdana" w:hAnsi="Verdana"/>
          <w:sz w:val="20"/>
          <w:szCs w:val="20"/>
        </w:rPr>
      </w:pPr>
    </w:p>
    <w:p w14:paraId="6AED1881" w14:textId="4134B22A" w:rsidR="009840C0" w:rsidRPr="009840C0" w:rsidRDefault="000209E8" w:rsidP="00766CA6">
      <w:pPr>
        <w:pStyle w:val="Prrafodelista"/>
        <w:numPr>
          <w:ilvl w:val="0"/>
          <w:numId w:val="28"/>
        </w:numPr>
        <w:ind w:left="567" w:hanging="567"/>
        <w:jc w:val="both"/>
        <w:rPr>
          <w:rFonts w:ascii="Verdana" w:hAnsi="Verdana"/>
          <w:b/>
          <w:bCs/>
          <w:sz w:val="20"/>
          <w:szCs w:val="20"/>
        </w:rPr>
      </w:pPr>
      <w:r w:rsidRPr="009840C0">
        <w:rPr>
          <w:rFonts w:ascii="Verdana" w:hAnsi="Verdana"/>
          <w:sz w:val="20"/>
          <w:szCs w:val="20"/>
        </w:rPr>
        <w:lastRenderedPageBreak/>
        <w:t xml:space="preserve">En desarrollo del deber general de </w:t>
      </w:r>
      <w:r w:rsidR="00661948">
        <w:rPr>
          <w:rFonts w:ascii="Verdana" w:hAnsi="Verdana"/>
          <w:sz w:val="20"/>
          <w:szCs w:val="20"/>
        </w:rPr>
        <w:t xml:space="preserve">la </w:t>
      </w:r>
      <w:r w:rsidRPr="009840C0">
        <w:rPr>
          <w:rFonts w:ascii="Verdana" w:hAnsi="Verdana"/>
          <w:sz w:val="20"/>
          <w:szCs w:val="20"/>
        </w:rPr>
        <w:t>adecuada prestación del servicio previsto en el artículo 98 del EOSF, la entidad debe adoptar un sistema adecuado de remisión o traslado inmediato de la información y sus respectivas actualizaciones a l</w:t>
      </w:r>
      <w:r w:rsidR="00182EA4">
        <w:rPr>
          <w:rFonts w:ascii="Verdana" w:hAnsi="Verdana"/>
          <w:sz w:val="20"/>
          <w:szCs w:val="20"/>
        </w:rPr>
        <w:t xml:space="preserve">os operadores de información </w:t>
      </w:r>
      <w:r w:rsidRPr="009840C0">
        <w:rPr>
          <w:rFonts w:ascii="Verdana" w:hAnsi="Verdana"/>
          <w:sz w:val="20"/>
          <w:szCs w:val="20"/>
        </w:rPr>
        <w:t>correspondiente. El representante legal principal de la entidad tiene el deber de velar por el funcionamiento adecuado de dicho sistema.</w:t>
      </w:r>
    </w:p>
    <w:p w14:paraId="24D1F22B" w14:textId="77777777" w:rsidR="009840C0" w:rsidRPr="009840C0" w:rsidRDefault="009840C0" w:rsidP="00766CA6">
      <w:pPr>
        <w:pStyle w:val="Prrafodelista"/>
        <w:jc w:val="both"/>
        <w:rPr>
          <w:rFonts w:ascii="Verdana" w:hAnsi="Verdana"/>
          <w:sz w:val="20"/>
          <w:szCs w:val="20"/>
        </w:rPr>
      </w:pPr>
    </w:p>
    <w:p w14:paraId="3A939872" w14:textId="360B4F47" w:rsidR="000209E8" w:rsidRPr="009840C0" w:rsidRDefault="000209E8" w:rsidP="00766CA6">
      <w:pPr>
        <w:pStyle w:val="Prrafodelista"/>
        <w:numPr>
          <w:ilvl w:val="0"/>
          <w:numId w:val="28"/>
        </w:numPr>
        <w:ind w:left="567" w:hanging="567"/>
        <w:jc w:val="both"/>
        <w:rPr>
          <w:rFonts w:ascii="Verdana" w:hAnsi="Verdana"/>
          <w:b/>
          <w:bCs/>
          <w:sz w:val="20"/>
          <w:szCs w:val="20"/>
        </w:rPr>
      </w:pPr>
      <w:r w:rsidRPr="009840C0">
        <w:rPr>
          <w:rFonts w:ascii="Verdana" w:hAnsi="Verdana"/>
          <w:sz w:val="20"/>
          <w:szCs w:val="20"/>
        </w:rPr>
        <w:t>Procedimientos adecuados y oportunos de atención de las solicitudes de actualización o rectificación de la información que presenten los clientes y usuarios.</w:t>
      </w:r>
    </w:p>
    <w:p w14:paraId="0D93342F" w14:textId="148D2C98" w:rsidR="009840C0" w:rsidRPr="003F3D3E" w:rsidRDefault="009840C0" w:rsidP="00766CA6">
      <w:pPr>
        <w:spacing w:after="0"/>
        <w:jc w:val="both"/>
        <w:rPr>
          <w:rFonts w:ascii="Verdana" w:hAnsi="Verdana"/>
          <w:sz w:val="20"/>
          <w:szCs w:val="20"/>
        </w:rPr>
      </w:pPr>
      <w:r w:rsidRPr="003F3D3E">
        <w:rPr>
          <w:rFonts w:ascii="Verdana" w:hAnsi="Verdana"/>
          <w:sz w:val="20"/>
          <w:szCs w:val="20"/>
        </w:rPr>
        <w:t>1.1.2.</w:t>
      </w:r>
      <w:r w:rsidR="006F1AF0">
        <w:rPr>
          <w:rFonts w:ascii="Verdana" w:hAnsi="Verdana"/>
          <w:sz w:val="20"/>
          <w:szCs w:val="20"/>
        </w:rPr>
        <w:t>70</w:t>
      </w:r>
      <w:r w:rsidRPr="003F3D3E">
        <w:rPr>
          <w:rFonts w:ascii="Verdana" w:hAnsi="Verdana"/>
          <w:sz w:val="20"/>
          <w:szCs w:val="20"/>
        </w:rPr>
        <w:t>.</w:t>
      </w:r>
    </w:p>
    <w:p w14:paraId="440094FC" w14:textId="0F449370" w:rsidR="000209E8" w:rsidRPr="000209E8" w:rsidRDefault="000209E8" w:rsidP="00766CA6">
      <w:pPr>
        <w:jc w:val="both"/>
        <w:rPr>
          <w:rFonts w:ascii="Verdana" w:hAnsi="Verdana"/>
          <w:sz w:val="20"/>
          <w:szCs w:val="20"/>
        </w:rPr>
      </w:pPr>
      <w:r w:rsidRPr="000209E8">
        <w:rPr>
          <w:rFonts w:ascii="Verdana" w:hAnsi="Verdana"/>
          <w:sz w:val="20"/>
          <w:szCs w:val="20"/>
        </w:rPr>
        <w:t>Para lo anterior, las bases de datos deben:</w:t>
      </w:r>
    </w:p>
    <w:p w14:paraId="00281377" w14:textId="77777777" w:rsidR="003F3D3E" w:rsidRDefault="000209E8" w:rsidP="00766CA6">
      <w:pPr>
        <w:pStyle w:val="Prrafodelista"/>
        <w:numPr>
          <w:ilvl w:val="0"/>
          <w:numId w:val="29"/>
        </w:numPr>
        <w:ind w:left="567" w:hanging="567"/>
        <w:jc w:val="both"/>
        <w:rPr>
          <w:rFonts w:ascii="Verdana" w:hAnsi="Verdana"/>
          <w:sz w:val="20"/>
          <w:szCs w:val="20"/>
        </w:rPr>
      </w:pPr>
      <w:r w:rsidRPr="009840C0">
        <w:rPr>
          <w:rFonts w:ascii="Verdana" w:hAnsi="Verdana"/>
          <w:sz w:val="20"/>
          <w:szCs w:val="20"/>
        </w:rPr>
        <w:t>Estar actualizadas y contar con mecanismos que garanticen la calidad y consistencia de la información de los clientes para hacer las evaluaciones rutinarias del riesgo de crédito de sus operaciones activas. Igualmente deben contar con mecanismos de seguridad que garanticen la confiabilidad de la información. Toda la información cuantitativa y cualitativa evaluada que sirva de insumo para los modelos de otorgamiento y monitoreo debe quedar a disposición de la SFC. Para preservar la confidencialidad de la información, la entidad debe suministrarla únicamente a los funcionarios autorizados previa y expresamente para el efecto por la SFC.</w:t>
      </w:r>
    </w:p>
    <w:p w14:paraId="5FBC66A0" w14:textId="77777777" w:rsidR="003F3D3E" w:rsidRDefault="003F3D3E" w:rsidP="00766CA6">
      <w:pPr>
        <w:pStyle w:val="Prrafodelista"/>
        <w:ind w:left="567"/>
        <w:jc w:val="both"/>
        <w:rPr>
          <w:rFonts w:ascii="Verdana" w:hAnsi="Verdana"/>
          <w:sz w:val="20"/>
          <w:szCs w:val="20"/>
        </w:rPr>
      </w:pPr>
    </w:p>
    <w:p w14:paraId="473EBF58" w14:textId="1C7F6E6F" w:rsidR="000209E8" w:rsidRPr="003F3D3E" w:rsidRDefault="000209E8" w:rsidP="00766CA6">
      <w:pPr>
        <w:pStyle w:val="Prrafodelista"/>
        <w:numPr>
          <w:ilvl w:val="0"/>
          <w:numId w:val="29"/>
        </w:numPr>
        <w:ind w:left="567" w:hanging="567"/>
        <w:jc w:val="both"/>
        <w:rPr>
          <w:rFonts w:ascii="Verdana" w:hAnsi="Verdana"/>
          <w:sz w:val="20"/>
          <w:szCs w:val="20"/>
        </w:rPr>
      </w:pPr>
      <w:r w:rsidRPr="003F3D3E">
        <w:rPr>
          <w:rFonts w:ascii="Verdana" w:hAnsi="Verdana"/>
          <w:sz w:val="20"/>
          <w:szCs w:val="20"/>
        </w:rPr>
        <w:t>Tener una longitud mínima de 7 años.</w:t>
      </w:r>
    </w:p>
    <w:p w14:paraId="1051C525" w14:textId="72D5E904" w:rsidR="003F3D3E" w:rsidRPr="003F3D3E" w:rsidRDefault="003F3D3E" w:rsidP="00766CA6">
      <w:pPr>
        <w:jc w:val="both"/>
        <w:rPr>
          <w:rFonts w:ascii="Verdana" w:hAnsi="Verdana"/>
          <w:b/>
          <w:bCs/>
          <w:sz w:val="20"/>
          <w:szCs w:val="20"/>
        </w:rPr>
      </w:pPr>
      <w:r w:rsidRPr="003F3D3E">
        <w:rPr>
          <w:rFonts w:ascii="Verdana" w:hAnsi="Verdana"/>
          <w:b/>
          <w:bCs/>
          <w:sz w:val="20"/>
          <w:szCs w:val="20"/>
        </w:rPr>
        <w:t>Supervisión por parte de la SFC</w:t>
      </w:r>
    </w:p>
    <w:p w14:paraId="2C04E499" w14:textId="2F7C170D" w:rsidR="003F3D3E" w:rsidRPr="003F3D3E" w:rsidRDefault="003F3D3E" w:rsidP="00766CA6">
      <w:pPr>
        <w:spacing w:after="0"/>
        <w:jc w:val="both"/>
        <w:rPr>
          <w:rFonts w:ascii="Verdana" w:hAnsi="Verdana"/>
          <w:sz w:val="20"/>
          <w:szCs w:val="20"/>
        </w:rPr>
      </w:pPr>
      <w:r w:rsidRPr="003F3D3E">
        <w:rPr>
          <w:rFonts w:ascii="Verdana" w:hAnsi="Verdana"/>
          <w:sz w:val="20"/>
          <w:szCs w:val="20"/>
        </w:rPr>
        <w:t>1.1.2.</w:t>
      </w:r>
      <w:r w:rsidR="00605716">
        <w:rPr>
          <w:rFonts w:ascii="Verdana" w:hAnsi="Verdana"/>
          <w:sz w:val="20"/>
          <w:szCs w:val="20"/>
        </w:rPr>
        <w:t>7</w:t>
      </w:r>
      <w:r w:rsidR="00F94169">
        <w:rPr>
          <w:rFonts w:ascii="Verdana" w:hAnsi="Verdana"/>
          <w:sz w:val="20"/>
          <w:szCs w:val="20"/>
        </w:rPr>
        <w:t>1</w:t>
      </w:r>
      <w:r w:rsidRPr="003F3D3E">
        <w:rPr>
          <w:rFonts w:ascii="Verdana" w:hAnsi="Verdana"/>
          <w:sz w:val="20"/>
          <w:szCs w:val="20"/>
        </w:rPr>
        <w:t>.</w:t>
      </w:r>
    </w:p>
    <w:p w14:paraId="04A7271D" w14:textId="140F42AF" w:rsidR="000209E8" w:rsidRPr="000209E8" w:rsidRDefault="000209E8" w:rsidP="00766CA6">
      <w:pPr>
        <w:jc w:val="both"/>
        <w:rPr>
          <w:rFonts w:ascii="Verdana" w:hAnsi="Verdana"/>
          <w:sz w:val="20"/>
          <w:szCs w:val="20"/>
        </w:rPr>
      </w:pPr>
      <w:r w:rsidRPr="000209E8">
        <w:rPr>
          <w:rFonts w:ascii="Verdana" w:hAnsi="Verdana"/>
          <w:sz w:val="20"/>
          <w:szCs w:val="20"/>
        </w:rPr>
        <w:t xml:space="preserve">En ejercicio de las facultades de supervisión otorgadas a la SFC, y en especial de acuerdo con el objetivo previsto en el literal </w:t>
      </w:r>
      <w:r w:rsidR="00591781">
        <w:rPr>
          <w:rFonts w:ascii="Verdana" w:hAnsi="Verdana"/>
          <w:sz w:val="20"/>
          <w:szCs w:val="20"/>
        </w:rPr>
        <w:t>(</w:t>
      </w:r>
      <w:r w:rsidRPr="000209E8">
        <w:rPr>
          <w:rFonts w:ascii="Verdana" w:hAnsi="Verdana"/>
          <w:sz w:val="20"/>
          <w:szCs w:val="20"/>
        </w:rPr>
        <w:t xml:space="preserve">c) del artículo 325 del EOSF, la SFC evaluará las políticas de administración del riesgo de crédito, para efectos de la no objeción </w:t>
      </w:r>
      <w:r w:rsidR="00BB6DFF">
        <w:rPr>
          <w:rFonts w:ascii="Verdana" w:hAnsi="Verdana"/>
          <w:sz w:val="20"/>
          <w:szCs w:val="20"/>
        </w:rPr>
        <w:t xml:space="preserve">de </w:t>
      </w:r>
      <w:r w:rsidR="0006782A">
        <w:rPr>
          <w:rFonts w:ascii="Verdana" w:hAnsi="Verdana"/>
          <w:sz w:val="20"/>
          <w:szCs w:val="20"/>
        </w:rPr>
        <w:t xml:space="preserve">los </w:t>
      </w:r>
      <w:r w:rsidR="00BB6DFF">
        <w:rPr>
          <w:rFonts w:ascii="Verdana" w:hAnsi="Verdana"/>
          <w:sz w:val="20"/>
          <w:szCs w:val="20"/>
        </w:rPr>
        <w:t xml:space="preserve">modelos internos </w:t>
      </w:r>
      <w:r w:rsidRPr="000209E8">
        <w:rPr>
          <w:rFonts w:ascii="Verdana" w:hAnsi="Verdana"/>
          <w:sz w:val="20"/>
          <w:szCs w:val="20"/>
        </w:rPr>
        <w:t>prevista</w:t>
      </w:r>
      <w:r w:rsidR="00D41D97">
        <w:rPr>
          <w:rFonts w:ascii="Verdana" w:hAnsi="Verdana"/>
          <w:sz w:val="20"/>
          <w:szCs w:val="20"/>
        </w:rPr>
        <w:t xml:space="preserve"> </w:t>
      </w:r>
      <w:r w:rsidRPr="00A175A9">
        <w:rPr>
          <w:rFonts w:ascii="Verdana" w:hAnsi="Verdana"/>
          <w:sz w:val="20"/>
          <w:szCs w:val="20"/>
        </w:rPr>
        <w:t>en</w:t>
      </w:r>
      <w:r w:rsidR="00BC7B0E" w:rsidRPr="00A175A9">
        <w:rPr>
          <w:rFonts w:ascii="Verdana" w:hAnsi="Verdana"/>
          <w:sz w:val="20"/>
          <w:szCs w:val="20"/>
        </w:rPr>
        <w:t>tre los párrafos 1.1.3.</w:t>
      </w:r>
      <w:r w:rsidR="00BB6DFF">
        <w:rPr>
          <w:rFonts w:ascii="Verdana" w:hAnsi="Verdana"/>
          <w:sz w:val="20"/>
          <w:szCs w:val="20"/>
        </w:rPr>
        <w:t xml:space="preserve">36 a </w:t>
      </w:r>
      <w:r w:rsidR="00BC7B0E" w:rsidRPr="00A175A9">
        <w:rPr>
          <w:rFonts w:ascii="Verdana" w:hAnsi="Verdana"/>
          <w:sz w:val="20"/>
          <w:szCs w:val="20"/>
        </w:rPr>
        <w:t xml:space="preserve">1.1.3.49 de la </w:t>
      </w:r>
      <w:r w:rsidR="00F5486D">
        <w:rPr>
          <w:rFonts w:ascii="Verdana" w:hAnsi="Verdana"/>
          <w:sz w:val="20"/>
          <w:szCs w:val="20"/>
        </w:rPr>
        <w:t>CBF</w:t>
      </w:r>
      <w:r w:rsidR="00BC7B0E" w:rsidRPr="00A175A9">
        <w:rPr>
          <w:rFonts w:ascii="Verdana" w:hAnsi="Verdana"/>
          <w:sz w:val="20"/>
          <w:szCs w:val="20"/>
        </w:rPr>
        <w:t xml:space="preserve"> </w:t>
      </w:r>
      <w:r w:rsidRPr="00A175A9">
        <w:rPr>
          <w:rFonts w:ascii="Verdana" w:hAnsi="Verdana"/>
          <w:sz w:val="20"/>
          <w:szCs w:val="20"/>
        </w:rPr>
        <w:t xml:space="preserve">y la ejecución de </w:t>
      </w:r>
      <w:r w:rsidR="00F337C1">
        <w:rPr>
          <w:rFonts w:ascii="Verdana" w:hAnsi="Verdana"/>
          <w:sz w:val="20"/>
          <w:szCs w:val="20"/>
        </w:rPr>
        <w:t xml:space="preserve">tales </w:t>
      </w:r>
      <w:r w:rsidR="0006782A">
        <w:rPr>
          <w:rFonts w:ascii="Verdana" w:hAnsi="Verdana"/>
          <w:sz w:val="20"/>
          <w:szCs w:val="20"/>
        </w:rPr>
        <w:t>políticas de administración de riesgo</w:t>
      </w:r>
      <w:r w:rsidRPr="00A175A9">
        <w:rPr>
          <w:rFonts w:ascii="Verdana" w:hAnsi="Verdana"/>
          <w:sz w:val="20"/>
          <w:szCs w:val="20"/>
        </w:rPr>
        <w:t xml:space="preserve">, y con base en dicha evaluación adoptará las medidas a que haya lugar, incluyendo, entre otras, la inadmisión, la no objeción del modelo o alguna de las </w:t>
      </w:r>
      <w:r w:rsidR="001E272E" w:rsidRPr="00A175A9">
        <w:rPr>
          <w:rFonts w:ascii="Verdana" w:hAnsi="Verdana"/>
          <w:sz w:val="20"/>
          <w:szCs w:val="20"/>
        </w:rPr>
        <w:t xml:space="preserve">demás medidas </w:t>
      </w:r>
      <w:r w:rsidRPr="00A175A9">
        <w:rPr>
          <w:rFonts w:ascii="Verdana" w:hAnsi="Verdana"/>
          <w:sz w:val="20"/>
          <w:szCs w:val="20"/>
        </w:rPr>
        <w:t>previstas</w:t>
      </w:r>
      <w:r w:rsidR="001E272E" w:rsidRPr="00A175A9">
        <w:rPr>
          <w:rFonts w:ascii="Verdana" w:hAnsi="Verdana"/>
          <w:sz w:val="20"/>
          <w:szCs w:val="20"/>
        </w:rPr>
        <w:t xml:space="preserve"> en la norma referida</w:t>
      </w:r>
      <w:r w:rsidRPr="00A175A9">
        <w:rPr>
          <w:rFonts w:ascii="Verdana" w:hAnsi="Verdana"/>
          <w:sz w:val="20"/>
          <w:szCs w:val="20"/>
        </w:rPr>
        <w:t>.</w:t>
      </w:r>
    </w:p>
    <w:p w14:paraId="590093A7" w14:textId="776A2BC5" w:rsidR="00605716" w:rsidRPr="003F3D3E" w:rsidRDefault="00605716" w:rsidP="00766CA6">
      <w:pPr>
        <w:spacing w:after="0"/>
        <w:jc w:val="both"/>
        <w:rPr>
          <w:rFonts w:ascii="Verdana" w:hAnsi="Verdana"/>
          <w:sz w:val="20"/>
          <w:szCs w:val="20"/>
        </w:rPr>
      </w:pPr>
      <w:r w:rsidRPr="003F3D3E">
        <w:rPr>
          <w:rFonts w:ascii="Verdana" w:hAnsi="Verdana"/>
          <w:sz w:val="20"/>
          <w:szCs w:val="20"/>
        </w:rPr>
        <w:t>1.1.2.</w:t>
      </w:r>
      <w:r>
        <w:rPr>
          <w:rFonts w:ascii="Verdana" w:hAnsi="Verdana"/>
          <w:sz w:val="20"/>
          <w:szCs w:val="20"/>
        </w:rPr>
        <w:t>7</w:t>
      </w:r>
      <w:r w:rsidR="00F94169">
        <w:rPr>
          <w:rFonts w:ascii="Verdana" w:hAnsi="Verdana"/>
          <w:sz w:val="20"/>
          <w:szCs w:val="20"/>
        </w:rPr>
        <w:t>2</w:t>
      </w:r>
      <w:r w:rsidRPr="003F3D3E">
        <w:rPr>
          <w:rFonts w:ascii="Verdana" w:hAnsi="Verdana"/>
          <w:sz w:val="20"/>
          <w:szCs w:val="20"/>
        </w:rPr>
        <w:t>.</w:t>
      </w:r>
    </w:p>
    <w:p w14:paraId="1F06CBA9" w14:textId="18860660" w:rsidR="000209E8" w:rsidRDefault="000209E8" w:rsidP="00766CA6">
      <w:pPr>
        <w:jc w:val="both"/>
        <w:rPr>
          <w:rFonts w:ascii="Verdana" w:hAnsi="Verdana"/>
          <w:sz w:val="20"/>
          <w:szCs w:val="20"/>
        </w:rPr>
      </w:pPr>
      <w:r w:rsidRPr="000209E8">
        <w:rPr>
          <w:rFonts w:ascii="Verdana" w:hAnsi="Verdana"/>
          <w:sz w:val="20"/>
          <w:szCs w:val="20"/>
        </w:rPr>
        <w:t xml:space="preserve">La SFC identifica como práctica de gestión que puede poner en peligro la situación de solvencia o liquidez de la entidad, las fallas en la gestión del riesgo de crédito. En este sentido, la inobservancia de las instrucciones del presente </w:t>
      </w:r>
      <w:r w:rsidR="00591781">
        <w:rPr>
          <w:rFonts w:ascii="Verdana" w:hAnsi="Verdana"/>
          <w:sz w:val="20"/>
          <w:szCs w:val="20"/>
        </w:rPr>
        <w:t>c</w:t>
      </w:r>
      <w:r w:rsidRPr="000209E8">
        <w:rPr>
          <w:rFonts w:ascii="Verdana" w:hAnsi="Verdana"/>
          <w:sz w:val="20"/>
          <w:szCs w:val="20"/>
        </w:rPr>
        <w:t>apítulo en materia de riesgo de crédito puede dar lugar, de acuerdo con lo establecido en el Título 5 del Libro 1 de la Parte 2 del Decreto 2555 de 2010, a la iniciación de un programa de recuperación en los términos de dicho decreto. Lo anterior, sin perjuicio de la aplicación de las demás medidas administrativas y en particular, de las sanciones institucionales y personales que de acuerdo con la ley se deban imponer.</w:t>
      </w:r>
    </w:p>
    <w:p w14:paraId="498B6D86" w14:textId="21A78BC4" w:rsidR="00605716" w:rsidRPr="003F3D3E" w:rsidRDefault="00605716" w:rsidP="00766CA6">
      <w:pPr>
        <w:spacing w:after="0"/>
        <w:jc w:val="both"/>
        <w:rPr>
          <w:rFonts w:ascii="Verdana" w:hAnsi="Verdana"/>
          <w:sz w:val="20"/>
          <w:szCs w:val="20"/>
        </w:rPr>
      </w:pPr>
      <w:r w:rsidRPr="003F3D3E">
        <w:rPr>
          <w:rFonts w:ascii="Verdana" w:hAnsi="Verdana"/>
          <w:sz w:val="20"/>
          <w:szCs w:val="20"/>
        </w:rPr>
        <w:t>1.1.2.</w:t>
      </w:r>
      <w:r>
        <w:rPr>
          <w:rFonts w:ascii="Verdana" w:hAnsi="Verdana"/>
          <w:sz w:val="20"/>
          <w:szCs w:val="20"/>
        </w:rPr>
        <w:t>7</w:t>
      </w:r>
      <w:r w:rsidR="00F94169">
        <w:rPr>
          <w:rFonts w:ascii="Verdana" w:hAnsi="Verdana"/>
          <w:sz w:val="20"/>
          <w:szCs w:val="20"/>
        </w:rPr>
        <w:t>3</w:t>
      </w:r>
      <w:r w:rsidRPr="003F3D3E">
        <w:rPr>
          <w:rFonts w:ascii="Verdana" w:hAnsi="Verdana"/>
          <w:sz w:val="20"/>
          <w:szCs w:val="20"/>
        </w:rPr>
        <w:t>.</w:t>
      </w:r>
    </w:p>
    <w:p w14:paraId="7718D400" w14:textId="68AF5DC0" w:rsidR="000209E8" w:rsidRPr="000209E8" w:rsidRDefault="000209E8" w:rsidP="00766CA6">
      <w:pPr>
        <w:jc w:val="both"/>
        <w:rPr>
          <w:rFonts w:ascii="Verdana" w:hAnsi="Verdana"/>
          <w:sz w:val="20"/>
          <w:szCs w:val="20"/>
        </w:rPr>
      </w:pPr>
      <w:r w:rsidRPr="000209E8">
        <w:rPr>
          <w:rFonts w:ascii="Verdana" w:hAnsi="Verdana"/>
          <w:sz w:val="20"/>
          <w:szCs w:val="20"/>
        </w:rPr>
        <w:t xml:space="preserve">Cuando en ejercicio de la facultad contemplada en el literal </w:t>
      </w:r>
      <w:r w:rsidR="00591781">
        <w:rPr>
          <w:rFonts w:ascii="Verdana" w:hAnsi="Verdana"/>
          <w:sz w:val="20"/>
          <w:szCs w:val="20"/>
        </w:rPr>
        <w:t>(</w:t>
      </w:r>
      <w:r w:rsidRPr="000209E8">
        <w:rPr>
          <w:rFonts w:ascii="Verdana" w:hAnsi="Verdana"/>
          <w:sz w:val="20"/>
          <w:szCs w:val="20"/>
        </w:rPr>
        <w:t>a) del numeral 5 del artículo 326 del EOSF, la SFC considere que en la gestión del riesgo de crédito se haya incurrido en prácticas no autorizadas o inseguras, se emitirán las órdenes pertinentes.</w:t>
      </w:r>
    </w:p>
    <w:p w14:paraId="716C012F" w14:textId="5A6443DA" w:rsidR="00605716" w:rsidRPr="003F3D3E" w:rsidRDefault="00605716" w:rsidP="00766CA6">
      <w:pPr>
        <w:spacing w:after="0"/>
        <w:jc w:val="both"/>
        <w:rPr>
          <w:rFonts w:ascii="Verdana" w:hAnsi="Verdana"/>
          <w:sz w:val="20"/>
          <w:szCs w:val="20"/>
        </w:rPr>
      </w:pPr>
      <w:r w:rsidRPr="003F3D3E">
        <w:rPr>
          <w:rFonts w:ascii="Verdana" w:hAnsi="Verdana"/>
          <w:sz w:val="20"/>
          <w:szCs w:val="20"/>
        </w:rPr>
        <w:t>1.1.2.</w:t>
      </w:r>
      <w:r>
        <w:rPr>
          <w:rFonts w:ascii="Verdana" w:hAnsi="Verdana"/>
          <w:sz w:val="20"/>
          <w:szCs w:val="20"/>
        </w:rPr>
        <w:t>7</w:t>
      </w:r>
      <w:r w:rsidR="00F94169">
        <w:rPr>
          <w:rFonts w:ascii="Verdana" w:hAnsi="Verdana"/>
          <w:sz w:val="20"/>
          <w:szCs w:val="20"/>
        </w:rPr>
        <w:t>4</w:t>
      </w:r>
      <w:r w:rsidRPr="003F3D3E">
        <w:rPr>
          <w:rFonts w:ascii="Verdana" w:hAnsi="Verdana"/>
          <w:sz w:val="20"/>
          <w:szCs w:val="20"/>
        </w:rPr>
        <w:t>.</w:t>
      </w:r>
    </w:p>
    <w:p w14:paraId="7B4452CE" w14:textId="773FC663" w:rsidR="00F7454E" w:rsidRDefault="000209E8" w:rsidP="0044432F">
      <w:pPr>
        <w:tabs>
          <w:tab w:val="left" w:pos="0"/>
        </w:tabs>
        <w:spacing w:after="0" w:line="240" w:lineRule="auto"/>
        <w:jc w:val="both"/>
        <w:rPr>
          <w:rFonts w:ascii="Verdana" w:hAnsi="Verdana"/>
          <w:sz w:val="20"/>
          <w:szCs w:val="20"/>
        </w:rPr>
      </w:pPr>
      <w:r w:rsidRPr="000209E8">
        <w:rPr>
          <w:rFonts w:ascii="Verdana" w:hAnsi="Verdana"/>
          <w:sz w:val="20"/>
          <w:szCs w:val="20"/>
        </w:rPr>
        <w:t xml:space="preserve">Constituye práctica insegura y en consecuencia no autorizada, reversar provisiones y/o mejorar la calificación de los deudores sin observar las metodologías derivadas del modelo aplicable o sin el cumplimiento y plena verificación de los criterios y requisitos mínimos </w:t>
      </w:r>
      <w:r w:rsidR="00A06DBB">
        <w:rPr>
          <w:rFonts w:ascii="Verdana" w:hAnsi="Verdana"/>
          <w:sz w:val="20"/>
          <w:szCs w:val="20"/>
        </w:rPr>
        <w:t xml:space="preserve">de gestión </w:t>
      </w:r>
      <w:r w:rsidRPr="000209E8">
        <w:rPr>
          <w:rFonts w:ascii="Verdana" w:hAnsi="Verdana"/>
          <w:sz w:val="20"/>
          <w:szCs w:val="20"/>
        </w:rPr>
        <w:t xml:space="preserve">establecidos en el presente </w:t>
      </w:r>
      <w:r w:rsidR="00591781">
        <w:rPr>
          <w:rFonts w:ascii="Verdana" w:hAnsi="Verdana"/>
          <w:sz w:val="20"/>
          <w:szCs w:val="20"/>
        </w:rPr>
        <w:t>c</w:t>
      </w:r>
      <w:r w:rsidRPr="000209E8">
        <w:rPr>
          <w:rFonts w:ascii="Verdana" w:hAnsi="Verdana"/>
          <w:sz w:val="20"/>
          <w:szCs w:val="20"/>
        </w:rPr>
        <w:t xml:space="preserve">apítulo, en particular </w:t>
      </w:r>
      <w:r w:rsidR="00751B0B">
        <w:rPr>
          <w:rFonts w:ascii="Verdana" w:hAnsi="Verdana"/>
          <w:sz w:val="20"/>
          <w:szCs w:val="20"/>
        </w:rPr>
        <w:t>el</w:t>
      </w:r>
      <w:r w:rsidR="00751B0B" w:rsidRPr="000209E8">
        <w:rPr>
          <w:rFonts w:ascii="Verdana" w:hAnsi="Verdana"/>
          <w:sz w:val="20"/>
          <w:szCs w:val="20"/>
        </w:rPr>
        <w:t xml:space="preserve"> análisis de viabilidad financiera del deudor</w:t>
      </w:r>
      <w:r w:rsidR="00751B0B">
        <w:rPr>
          <w:rFonts w:ascii="Verdana" w:hAnsi="Verdana"/>
          <w:sz w:val="20"/>
          <w:szCs w:val="20"/>
        </w:rPr>
        <w:t xml:space="preserve"> </w:t>
      </w:r>
      <w:r w:rsidR="00097191">
        <w:rPr>
          <w:rFonts w:ascii="Verdana" w:hAnsi="Verdana"/>
          <w:sz w:val="20"/>
          <w:szCs w:val="20"/>
        </w:rPr>
        <w:t xml:space="preserve">para </w:t>
      </w:r>
      <w:r w:rsidR="00545339">
        <w:rPr>
          <w:rFonts w:ascii="Verdana" w:hAnsi="Verdana"/>
          <w:sz w:val="20"/>
          <w:szCs w:val="20"/>
        </w:rPr>
        <w:t xml:space="preserve">la </w:t>
      </w:r>
      <w:r w:rsidR="00C52485">
        <w:rPr>
          <w:rFonts w:ascii="Verdana" w:hAnsi="Verdana"/>
          <w:sz w:val="20"/>
          <w:szCs w:val="20"/>
        </w:rPr>
        <w:t>calificación y recali</w:t>
      </w:r>
      <w:r w:rsidR="00F82378">
        <w:rPr>
          <w:rFonts w:ascii="Verdana" w:hAnsi="Verdana"/>
          <w:sz w:val="20"/>
          <w:szCs w:val="20"/>
        </w:rPr>
        <w:t>ficación</w:t>
      </w:r>
      <w:r w:rsidR="00E70F7D">
        <w:rPr>
          <w:rFonts w:ascii="Verdana" w:hAnsi="Verdana"/>
          <w:sz w:val="20"/>
          <w:szCs w:val="20"/>
        </w:rPr>
        <w:t xml:space="preserve"> de los deudores</w:t>
      </w:r>
      <w:r w:rsidR="00FD480B">
        <w:rPr>
          <w:rFonts w:ascii="Verdana" w:hAnsi="Verdana"/>
          <w:sz w:val="20"/>
          <w:szCs w:val="20"/>
        </w:rPr>
        <w:t xml:space="preserve"> y </w:t>
      </w:r>
      <w:r w:rsidR="000C6FDC">
        <w:rPr>
          <w:rFonts w:ascii="Verdana" w:hAnsi="Verdana"/>
          <w:sz w:val="20"/>
          <w:szCs w:val="20"/>
        </w:rPr>
        <w:t xml:space="preserve">para </w:t>
      </w:r>
      <w:r w:rsidR="00AB51B3">
        <w:rPr>
          <w:rFonts w:ascii="Verdana" w:hAnsi="Verdana"/>
          <w:sz w:val="20"/>
          <w:szCs w:val="20"/>
        </w:rPr>
        <w:t>la</w:t>
      </w:r>
      <w:r w:rsidR="00D54C30" w:rsidDel="00AB51B3">
        <w:rPr>
          <w:rFonts w:ascii="Verdana" w:hAnsi="Verdana"/>
          <w:sz w:val="20"/>
          <w:szCs w:val="20"/>
        </w:rPr>
        <w:t xml:space="preserve"> </w:t>
      </w:r>
      <w:r w:rsidR="00D54C30">
        <w:rPr>
          <w:rFonts w:ascii="Verdana" w:hAnsi="Verdana"/>
          <w:sz w:val="20"/>
          <w:szCs w:val="20"/>
        </w:rPr>
        <w:t xml:space="preserve">modificación o </w:t>
      </w:r>
      <w:r w:rsidRPr="000209E8">
        <w:rPr>
          <w:rFonts w:ascii="Verdana" w:hAnsi="Verdana"/>
          <w:sz w:val="20"/>
          <w:szCs w:val="20"/>
        </w:rPr>
        <w:t>reestructuraci</w:t>
      </w:r>
      <w:r w:rsidR="00205328">
        <w:rPr>
          <w:rFonts w:ascii="Verdana" w:hAnsi="Verdana"/>
          <w:sz w:val="20"/>
          <w:szCs w:val="20"/>
        </w:rPr>
        <w:t>ón de los créditos</w:t>
      </w:r>
      <w:r w:rsidR="0019426E">
        <w:rPr>
          <w:rFonts w:ascii="Verdana" w:hAnsi="Verdana"/>
          <w:sz w:val="20"/>
          <w:szCs w:val="20"/>
        </w:rPr>
        <w:t>,</w:t>
      </w:r>
      <w:r w:rsidR="00205328">
        <w:rPr>
          <w:rFonts w:ascii="Verdana" w:hAnsi="Verdana"/>
          <w:sz w:val="20"/>
          <w:szCs w:val="20"/>
        </w:rPr>
        <w:t xml:space="preserve"> </w:t>
      </w:r>
      <w:r w:rsidR="004E67BA">
        <w:rPr>
          <w:rFonts w:ascii="Verdana" w:hAnsi="Verdana"/>
          <w:sz w:val="20"/>
          <w:szCs w:val="20"/>
        </w:rPr>
        <w:t xml:space="preserve">según las instrucciones </w:t>
      </w:r>
      <w:r w:rsidR="004E67BA" w:rsidRPr="000209E8">
        <w:rPr>
          <w:rFonts w:ascii="Verdana" w:hAnsi="Verdana"/>
          <w:sz w:val="20"/>
          <w:szCs w:val="20"/>
        </w:rPr>
        <w:t xml:space="preserve">establecidas </w:t>
      </w:r>
      <w:r w:rsidRPr="000209E8">
        <w:rPr>
          <w:rFonts w:ascii="Verdana" w:hAnsi="Verdana"/>
          <w:sz w:val="20"/>
          <w:szCs w:val="20"/>
        </w:rPr>
        <w:t>en</w:t>
      </w:r>
      <w:r w:rsidR="00205328">
        <w:rPr>
          <w:rFonts w:ascii="Verdana" w:hAnsi="Verdana"/>
          <w:sz w:val="20"/>
          <w:szCs w:val="20"/>
        </w:rPr>
        <w:t>tre</w:t>
      </w:r>
      <w:r w:rsidRPr="000209E8">
        <w:rPr>
          <w:rFonts w:ascii="Verdana" w:hAnsi="Verdana"/>
          <w:sz w:val="20"/>
          <w:szCs w:val="20"/>
        </w:rPr>
        <w:t xml:space="preserve"> </w:t>
      </w:r>
      <w:r w:rsidR="00B44704">
        <w:rPr>
          <w:rFonts w:ascii="Verdana" w:hAnsi="Verdana"/>
          <w:sz w:val="20"/>
          <w:szCs w:val="20"/>
        </w:rPr>
        <w:t xml:space="preserve">los párrafos 1.1.2.50. </w:t>
      </w:r>
      <w:r w:rsidR="00497831">
        <w:rPr>
          <w:rFonts w:ascii="Verdana" w:hAnsi="Verdana"/>
          <w:sz w:val="20"/>
          <w:szCs w:val="20"/>
        </w:rPr>
        <w:t>a 1.1.2.6</w:t>
      </w:r>
      <w:r w:rsidR="00761128">
        <w:rPr>
          <w:rFonts w:ascii="Verdana" w:hAnsi="Verdana"/>
          <w:sz w:val="20"/>
          <w:szCs w:val="20"/>
        </w:rPr>
        <w:t>2</w:t>
      </w:r>
      <w:r w:rsidR="00F7454E">
        <w:rPr>
          <w:rFonts w:ascii="Verdana" w:hAnsi="Verdana"/>
          <w:sz w:val="20"/>
          <w:szCs w:val="20"/>
        </w:rPr>
        <w:t>.</w:t>
      </w:r>
    </w:p>
    <w:p w14:paraId="72E2A930" w14:textId="77777777" w:rsidR="00A90CF0" w:rsidRDefault="00A90CF0" w:rsidP="00554F01">
      <w:pPr>
        <w:tabs>
          <w:tab w:val="left" w:pos="0"/>
        </w:tabs>
        <w:spacing w:after="0" w:line="240" w:lineRule="auto"/>
        <w:jc w:val="both"/>
        <w:rPr>
          <w:rFonts w:ascii="Verdana" w:hAnsi="Verdana"/>
          <w:sz w:val="20"/>
          <w:szCs w:val="20"/>
        </w:rPr>
      </w:pPr>
    </w:p>
    <w:p w14:paraId="1406ACA3" w14:textId="07BCF306" w:rsidR="00066B2F" w:rsidRDefault="00066B2F" w:rsidP="00766CA6">
      <w:pPr>
        <w:spacing w:after="0"/>
        <w:jc w:val="both"/>
        <w:rPr>
          <w:rFonts w:ascii="Verdana" w:hAnsi="Verdana"/>
          <w:sz w:val="20"/>
          <w:szCs w:val="20"/>
        </w:rPr>
      </w:pPr>
      <w:r w:rsidRPr="003F3D3E">
        <w:rPr>
          <w:rFonts w:ascii="Verdana" w:hAnsi="Verdana"/>
          <w:sz w:val="20"/>
          <w:szCs w:val="20"/>
        </w:rPr>
        <w:t>1.1.2.</w:t>
      </w:r>
      <w:r>
        <w:rPr>
          <w:rFonts w:ascii="Verdana" w:hAnsi="Verdana"/>
          <w:sz w:val="20"/>
          <w:szCs w:val="20"/>
        </w:rPr>
        <w:t>7</w:t>
      </w:r>
      <w:r w:rsidR="00F94169">
        <w:rPr>
          <w:rFonts w:ascii="Verdana" w:hAnsi="Verdana"/>
          <w:sz w:val="20"/>
          <w:szCs w:val="20"/>
        </w:rPr>
        <w:t>5</w:t>
      </w:r>
      <w:r w:rsidRPr="003F3D3E">
        <w:rPr>
          <w:rFonts w:ascii="Verdana" w:hAnsi="Verdana"/>
          <w:sz w:val="20"/>
          <w:szCs w:val="20"/>
        </w:rPr>
        <w:t>.</w:t>
      </w:r>
    </w:p>
    <w:p w14:paraId="77F7D731" w14:textId="77777777" w:rsidR="000F0108" w:rsidRDefault="000209E8" w:rsidP="00766CA6">
      <w:pPr>
        <w:spacing w:after="0"/>
        <w:jc w:val="both"/>
        <w:rPr>
          <w:rFonts w:ascii="Verdana" w:hAnsi="Verdana"/>
          <w:sz w:val="20"/>
          <w:szCs w:val="20"/>
        </w:rPr>
      </w:pPr>
      <w:r w:rsidRPr="000209E8">
        <w:rPr>
          <w:rFonts w:ascii="Verdana" w:hAnsi="Verdana"/>
          <w:sz w:val="20"/>
          <w:szCs w:val="20"/>
        </w:rPr>
        <w:t>Entre otras medidas, la SFC podrá ordenar la suspensión inmediata de la aplicación de modelos internos no objetados, orden que conllevará la aplicación inmediata del modelo de referencia de la SFC, hasta tanto se subsanen, a satisfacción de este organismo, las irregularidades o deficiencias observadas.</w:t>
      </w:r>
    </w:p>
    <w:p w14:paraId="0C5AAD86" w14:textId="77777777" w:rsidR="000F0108" w:rsidRDefault="000F0108" w:rsidP="00766CA6">
      <w:pPr>
        <w:spacing w:after="0"/>
        <w:jc w:val="both"/>
        <w:rPr>
          <w:rFonts w:ascii="Verdana" w:hAnsi="Verdana"/>
          <w:sz w:val="20"/>
          <w:szCs w:val="20"/>
        </w:rPr>
      </w:pPr>
    </w:p>
    <w:p w14:paraId="7FCB4876" w14:textId="77777777" w:rsidR="00CC015D" w:rsidRDefault="00CC015D" w:rsidP="00766CA6">
      <w:pPr>
        <w:jc w:val="both"/>
        <w:rPr>
          <w:rFonts w:ascii="Verdana" w:hAnsi="Verdana"/>
          <w:b/>
          <w:bCs/>
          <w:sz w:val="20"/>
          <w:szCs w:val="20"/>
        </w:rPr>
      </w:pPr>
      <w:r>
        <w:rPr>
          <w:rFonts w:ascii="Verdana" w:hAnsi="Verdana"/>
          <w:b/>
          <w:bCs/>
          <w:sz w:val="20"/>
          <w:szCs w:val="20"/>
        </w:rPr>
        <w:br w:type="page"/>
      </w:r>
    </w:p>
    <w:p w14:paraId="0DBFB6BD" w14:textId="53C676E0" w:rsidR="000F0108" w:rsidRDefault="000F0108" w:rsidP="00766CA6">
      <w:pPr>
        <w:spacing w:after="0"/>
        <w:jc w:val="both"/>
        <w:rPr>
          <w:rFonts w:ascii="Verdana" w:hAnsi="Verdana"/>
          <w:b/>
          <w:bCs/>
          <w:sz w:val="20"/>
          <w:szCs w:val="20"/>
        </w:rPr>
      </w:pPr>
      <w:r>
        <w:rPr>
          <w:rFonts w:ascii="Verdana" w:hAnsi="Verdana"/>
          <w:b/>
          <w:bCs/>
          <w:sz w:val="20"/>
          <w:szCs w:val="20"/>
        </w:rPr>
        <w:lastRenderedPageBreak/>
        <w:t xml:space="preserve">GESTIÓN DEL </w:t>
      </w:r>
      <w:r w:rsidR="00A810C8" w:rsidRPr="00A810C8">
        <w:rPr>
          <w:rFonts w:ascii="Verdana" w:hAnsi="Verdana"/>
          <w:b/>
          <w:bCs/>
          <w:sz w:val="20"/>
          <w:szCs w:val="20"/>
        </w:rPr>
        <w:t>RIESGO DE MERCADO</w:t>
      </w:r>
    </w:p>
    <w:p w14:paraId="0ED227F6" w14:textId="77777777" w:rsidR="000F0108" w:rsidRDefault="000F0108" w:rsidP="00766CA6">
      <w:pPr>
        <w:spacing w:after="0"/>
        <w:jc w:val="both"/>
        <w:rPr>
          <w:rFonts w:ascii="Verdana" w:hAnsi="Verdana"/>
          <w:sz w:val="20"/>
          <w:szCs w:val="20"/>
        </w:rPr>
      </w:pPr>
    </w:p>
    <w:p w14:paraId="2F53BDCB" w14:textId="1993BADE" w:rsidR="000F0108" w:rsidRPr="007735FE" w:rsidRDefault="000F0108" w:rsidP="00766CA6">
      <w:pPr>
        <w:jc w:val="both"/>
        <w:rPr>
          <w:rFonts w:ascii="Verdana" w:hAnsi="Verdana"/>
          <w:b/>
          <w:bCs/>
          <w:sz w:val="20"/>
          <w:szCs w:val="20"/>
        </w:rPr>
      </w:pPr>
      <w:r>
        <w:rPr>
          <w:rFonts w:ascii="Verdana" w:hAnsi="Verdana"/>
          <w:b/>
          <w:bCs/>
          <w:sz w:val="20"/>
          <w:szCs w:val="20"/>
        </w:rPr>
        <w:t xml:space="preserve">Definición de riesgo </w:t>
      </w:r>
      <w:r w:rsidR="0069214A" w:rsidRPr="0069214A">
        <w:rPr>
          <w:rFonts w:ascii="Verdana" w:hAnsi="Verdana"/>
          <w:b/>
          <w:bCs/>
          <w:sz w:val="20"/>
          <w:szCs w:val="20"/>
        </w:rPr>
        <w:t>de mercado</w:t>
      </w:r>
    </w:p>
    <w:p w14:paraId="3AA4DBC7" w14:textId="1BD0C831" w:rsidR="000F0108" w:rsidRPr="000001A2" w:rsidRDefault="000F0108" w:rsidP="00766CA6">
      <w:pPr>
        <w:spacing w:after="0"/>
        <w:jc w:val="both"/>
        <w:rPr>
          <w:rFonts w:ascii="Verdana" w:hAnsi="Verdana"/>
          <w:sz w:val="20"/>
          <w:szCs w:val="20"/>
        </w:rPr>
      </w:pPr>
      <w:r>
        <w:rPr>
          <w:rFonts w:ascii="Verdana" w:hAnsi="Verdana"/>
          <w:sz w:val="20"/>
          <w:szCs w:val="20"/>
        </w:rPr>
        <w:t>1.1.2.</w:t>
      </w:r>
      <w:r w:rsidR="00CE6752">
        <w:rPr>
          <w:rFonts w:ascii="Verdana" w:hAnsi="Verdana"/>
          <w:sz w:val="20"/>
          <w:szCs w:val="20"/>
        </w:rPr>
        <w:t>7</w:t>
      </w:r>
      <w:r w:rsidR="00F94169">
        <w:rPr>
          <w:rFonts w:ascii="Verdana" w:hAnsi="Verdana"/>
          <w:sz w:val="20"/>
          <w:szCs w:val="20"/>
        </w:rPr>
        <w:t>6</w:t>
      </w:r>
      <w:r>
        <w:rPr>
          <w:rFonts w:ascii="Verdana" w:hAnsi="Verdana"/>
          <w:sz w:val="20"/>
          <w:szCs w:val="20"/>
        </w:rPr>
        <w:t>.</w:t>
      </w:r>
    </w:p>
    <w:p w14:paraId="619042A0" w14:textId="0E7CA07D" w:rsidR="000F0108" w:rsidRDefault="000F0108" w:rsidP="00766CA6">
      <w:pPr>
        <w:jc w:val="both"/>
        <w:rPr>
          <w:rFonts w:ascii="Verdana" w:hAnsi="Verdana"/>
          <w:sz w:val="20"/>
          <w:szCs w:val="20"/>
        </w:rPr>
      </w:pPr>
      <w:r w:rsidRPr="00270E73">
        <w:rPr>
          <w:rFonts w:ascii="Verdana" w:hAnsi="Verdana"/>
          <w:sz w:val="20"/>
          <w:szCs w:val="20"/>
        </w:rPr>
        <w:t xml:space="preserve">Es la posibilidad </w:t>
      </w:r>
      <w:r w:rsidR="00B96923" w:rsidRPr="00B96923">
        <w:rPr>
          <w:rFonts w:ascii="Verdana" w:hAnsi="Verdana"/>
          <w:sz w:val="20"/>
          <w:szCs w:val="20"/>
        </w:rPr>
        <w:t>de que una entidad incurra en pérdidas asociadas a la disminución del valor de sus portafolios y/o de los portafolios de terceros que se encuentran bajo su administración por efecto de variaciones en el precio de las inversiones en las cuales mantiene posiciones dentro o fuera del balance</w:t>
      </w:r>
      <w:r w:rsidR="004E5C13">
        <w:rPr>
          <w:rFonts w:ascii="Verdana" w:hAnsi="Verdana"/>
          <w:sz w:val="20"/>
          <w:szCs w:val="20"/>
        </w:rPr>
        <w:t>.</w:t>
      </w:r>
    </w:p>
    <w:p w14:paraId="7B7F5102" w14:textId="673B6DD9" w:rsidR="00B96923" w:rsidRPr="007735FE" w:rsidRDefault="00B96923" w:rsidP="00766CA6">
      <w:pPr>
        <w:jc w:val="both"/>
        <w:rPr>
          <w:rFonts w:ascii="Verdana" w:hAnsi="Verdana"/>
          <w:b/>
          <w:bCs/>
          <w:sz w:val="20"/>
          <w:szCs w:val="20"/>
        </w:rPr>
      </w:pPr>
      <w:r>
        <w:rPr>
          <w:rFonts w:ascii="Verdana" w:hAnsi="Verdana"/>
          <w:b/>
          <w:bCs/>
          <w:sz w:val="20"/>
          <w:szCs w:val="20"/>
        </w:rPr>
        <w:t>Ámbito de aplicación</w:t>
      </w:r>
    </w:p>
    <w:p w14:paraId="5E53B788" w14:textId="1CF9E2FD" w:rsidR="00B96923" w:rsidRPr="000001A2" w:rsidRDefault="00B96923" w:rsidP="00766CA6">
      <w:pPr>
        <w:spacing w:after="0"/>
        <w:jc w:val="both"/>
        <w:rPr>
          <w:rFonts w:ascii="Verdana" w:hAnsi="Verdana"/>
          <w:sz w:val="20"/>
          <w:szCs w:val="20"/>
        </w:rPr>
      </w:pPr>
      <w:r>
        <w:rPr>
          <w:rFonts w:ascii="Verdana" w:hAnsi="Verdana"/>
          <w:sz w:val="20"/>
          <w:szCs w:val="20"/>
        </w:rPr>
        <w:t>1.1.2.7</w:t>
      </w:r>
      <w:r w:rsidR="00F94169">
        <w:rPr>
          <w:rFonts w:ascii="Verdana" w:hAnsi="Verdana"/>
          <w:sz w:val="20"/>
          <w:szCs w:val="20"/>
        </w:rPr>
        <w:t>7</w:t>
      </w:r>
      <w:r>
        <w:rPr>
          <w:rFonts w:ascii="Verdana" w:hAnsi="Verdana"/>
          <w:sz w:val="20"/>
          <w:szCs w:val="20"/>
        </w:rPr>
        <w:t>.</w:t>
      </w:r>
    </w:p>
    <w:p w14:paraId="1C3CFE59" w14:textId="0C27F04D" w:rsidR="004E3296" w:rsidRPr="000209E8" w:rsidRDefault="008D221D" w:rsidP="00766CA6">
      <w:pPr>
        <w:jc w:val="both"/>
        <w:rPr>
          <w:rFonts w:ascii="Verdana" w:hAnsi="Verdana"/>
          <w:sz w:val="20"/>
          <w:szCs w:val="20"/>
        </w:rPr>
      </w:pPr>
      <w:r w:rsidRPr="008D221D">
        <w:rPr>
          <w:rFonts w:ascii="Verdana" w:hAnsi="Verdana"/>
          <w:sz w:val="20"/>
          <w:szCs w:val="20"/>
        </w:rPr>
        <w:t xml:space="preserve">La entidad que en desarrollo de sus operaciones autorizadas se encuentre expuesta al riesgo de mercado tanto en cuenta propia y portafolios administrados, como por cuenta de terceros debe gestionar el riesgo de mercado siguiendo como mínimo las instrucciones que se señalan en </w:t>
      </w:r>
      <w:r w:rsidR="00F56179">
        <w:rPr>
          <w:rFonts w:ascii="Verdana" w:hAnsi="Verdana"/>
          <w:sz w:val="20"/>
          <w:szCs w:val="20"/>
        </w:rPr>
        <w:t>la presente sección</w:t>
      </w:r>
      <w:r w:rsidRPr="008D221D">
        <w:rPr>
          <w:rFonts w:ascii="Verdana" w:hAnsi="Verdana"/>
          <w:sz w:val="20"/>
          <w:szCs w:val="20"/>
        </w:rPr>
        <w:t>.</w:t>
      </w:r>
    </w:p>
    <w:p w14:paraId="3E729A5E" w14:textId="5ACA37B1" w:rsidR="008D221D" w:rsidRPr="000001A2" w:rsidRDefault="004E3296" w:rsidP="00766CA6">
      <w:pPr>
        <w:spacing w:after="0"/>
        <w:jc w:val="both"/>
        <w:rPr>
          <w:rFonts w:ascii="Verdana" w:hAnsi="Verdana"/>
          <w:sz w:val="20"/>
          <w:szCs w:val="20"/>
        </w:rPr>
      </w:pPr>
      <w:r w:rsidRPr="003F3D3E">
        <w:rPr>
          <w:rFonts w:ascii="Verdana" w:hAnsi="Verdana"/>
          <w:sz w:val="20"/>
          <w:szCs w:val="20"/>
        </w:rPr>
        <w:t>1</w:t>
      </w:r>
      <w:r w:rsidR="008D221D">
        <w:rPr>
          <w:rFonts w:ascii="Verdana" w:hAnsi="Verdana"/>
          <w:sz w:val="20"/>
          <w:szCs w:val="20"/>
        </w:rPr>
        <w:t>.1.2.7</w:t>
      </w:r>
      <w:r w:rsidR="00F94169">
        <w:rPr>
          <w:rFonts w:ascii="Verdana" w:hAnsi="Verdana"/>
          <w:sz w:val="20"/>
          <w:szCs w:val="20"/>
        </w:rPr>
        <w:t>8</w:t>
      </w:r>
      <w:r w:rsidR="008D221D">
        <w:rPr>
          <w:rFonts w:ascii="Verdana" w:hAnsi="Verdana"/>
          <w:sz w:val="20"/>
          <w:szCs w:val="20"/>
        </w:rPr>
        <w:t>.</w:t>
      </w:r>
    </w:p>
    <w:p w14:paraId="018F86E8" w14:textId="240FFA7A" w:rsidR="004E3296" w:rsidRPr="000209E8" w:rsidRDefault="008D221D" w:rsidP="00766CA6">
      <w:pPr>
        <w:jc w:val="both"/>
        <w:rPr>
          <w:rFonts w:ascii="Verdana" w:hAnsi="Verdana"/>
          <w:sz w:val="20"/>
          <w:szCs w:val="20"/>
        </w:rPr>
      </w:pPr>
      <w:r w:rsidRPr="008D221D">
        <w:rPr>
          <w:rFonts w:ascii="Verdana" w:hAnsi="Verdana"/>
          <w:sz w:val="20"/>
          <w:szCs w:val="20"/>
        </w:rPr>
        <w:t>La gestión del riesgo de mercado que realicen los EC, las Instituciones Oficiales Especiales (IOE), los organismos cooperativos de grado superior, las entidades de seguros generales respecto de las inversiones que respaldan sus reservas técnicas y el correspondiente a las operaciones por cuenta propia de las Sociedades Comisionistas de Bolsa de Valores (SCBV), debe permitirles calcular el monto de capital que deben mantener para cubrir el mencionado riesgo.</w:t>
      </w:r>
    </w:p>
    <w:p w14:paraId="4F6EE754" w14:textId="40A73971" w:rsidR="008D221D" w:rsidRPr="000001A2" w:rsidRDefault="004E3296" w:rsidP="00766CA6">
      <w:pPr>
        <w:spacing w:after="0"/>
        <w:jc w:val="both"/>
        <w:rPr>
          <w:rFonts w:ascii="Verdana" w:hAnsi="Verdana"/>
          <w:sz w:val="20"/>
          <w:szCs w:val="20"/>
        </w:rPr>
      </w:pPr>
      <w:r w:rsidRPr="003F3D3E">
        <w:rPr>
          <w:rFonts w:ascii="Verdana" w:hAnsi="Verdana"/>
          <w:sz w:val="20"/>
          <w:szCs w:val="20"/>
        </w:rPr>
        <w:t>1</w:t>
      </w:r>
      <w:r w:rsidR="008D221D">
        <w:rPr>
          <w:rFonts w:ascii="Verdana" w:hAnsi="Verdana"/>
          <w:sz w:val="20"/>
          <w:szCs w:val="20"/>
        </w:rPr>
        <w:t>.1.2.7</w:t>
      </w:r>
      <w:r w:rsidR="00F94169">
        <w:rPr>
          <w:rFonts w:ascii="Verdana" w:hAnsi="Verdana"/>
          <w:sz w:val="20"/>
          <w:szCs w:val="20"/>
        </w:rPr>
        <w:t>9</w:t>
      </w:r>
      <w:r w:rsidR="008D221D">
        <w:rPr>
          <w:rFonts w:ascii="Verdana" w:hAnsi="Verdana"/>
          <w:sz w:val="20"/>
          <w:szCs w:val="20"/>
        </w:rPr>
        <w:t>.</w:t>
      </w:r>
    </w:p>
    <w:p w14:paraId="6B9C4DE7" w14:textId="790B20E3" w:rsidR="004E3296" w:rsidRPr="000209E8" w:rsidRDefault="008D221D" w:rsidP="00766CA6">
      <w:pPr>
        <w:jc w:val="both"/>
        <w:rPr>
          <w:rFonts w:ascii="Verdana" w:hAnsi="Verdana"/>
          <w:sz w:val="20"/>
          <w:szCs w:val="20"/>
        </w:rPr>
      </w:pPr>
      <w:r w:rsidRPr="008D221D">
        <w:rPr>
          <w:rFonts w:ascii="Verdana" w:hAnsi="Verdana"/>
          <w:sz w:val="20"/>
          <w:szCs w:val="20"/>
        </w:rPr>
        <w:t>Respecto de la gestión del riesgo de mercado de las sociedades fiduciarias (SF), sociedades administradoras de fondos de pensiones y de cesantía, sociedades administradoras de inversión (SAI), entidades administradoras del régimen solidario de prima media, las compañías de seguros de vida, el correspondiente a los activos financieros de libre inversión de las entidades de seguros generales, sociedades de capitalización, fondos de inversión colectiva (FIC) o fondos administrados por las SCBV, debe permitirles gestionar el mencionado riesgo en forma independiente tanto para el libro de tesorería de la entidad como para los diferentes tipos de fondos que administran.</w:t>
      </w:r>
    </w:p>
    <w:p w14:paraId="668F97CC" w14:textId="5D84FFFA" w:rsidR="008D221D" w:rsidRPr="000001A2" w:rsidRDefault="004E3296" w:rsidP="00766CA6">
      <w:pPr>
        <w:spacing w:after="0"/>
        <w:jc w:val="both"/>
        <w:rPr>
          <w:rFonts w:ascii="Verdana" w:hAnsi="Verdana"/>
          <w:sz w:val="20"/>
          <w:szCs w:val="20"/>
        </w:rPr>
      </w:pPr>
      <w:r w:rsidRPr="003F3D3E">
        <w:rPr>
          <w:rFonts w:ascii="Verdana" w:hAnsi="Verdana"/>
          <w:sz w:val="20"/>
          <w:szCs w:val="20"/>
        </w:rPr>
        <w:t>1</w:t>
      </w:r>
      <w:r w:rsidR="008D221D">
        <w:rPr>
          <w:rFonts w:ascii="Verdana" w:hAnsi="Verdana"/>
          <w:sz w:val="20"/>
          <w:szCs w:val="20"/>
        </w:rPr>
        <w:t>.1.2.</w:t>
      </w:r>
      <w:r w:rsidR="00F94169">
        <w:rPr>
          <w:rFonts w:ascii="Verdana" w:hAnsi="Verdana"/>
          <w:sz w:val="20"/>
          <w:szCs w:val="20"/>
        </w:rPr>
        <w:t>80</w:t>
      </w:r>
      <w:r w:rsidR="008D221D">
        <w:rPr>
          <w:rFonts w:ascii="Verdana" w:hAnsi="Verdana"/>
          <w:sz w:val="20"/>
          <w:szCs w:val="20"/>
        </w:rPr>
        <w:t>.</w:t>
      </w:r>
    </w:p>
    <w:p w14:paraId="776C6B72" w14:textId="3EB0FCDB" w:rsidR="004E3296" w:rsidRPr="000209E8" w:rsidRDefault="008D221D" w:rsidP="00766CA6">
      <w:pPr>
        <w:jc w:val="both"/>
        <w:rPr>
          <w:rFonts w:ascii="Verdana" w:hAnsi="Verdana"/>
          <w:sz w:val="20"/>
          <w:szCs w:val="20"/>
        </w:rPr>
      </w:pPr>
      <w:r w:rsidRPr="008D221D">
        <w:rPr>
          <w:rFonts w:ascii="Verdana" w:hAnsi="Verdana"/>
          <w:sz w:val="20"/>
          <w:szCs w:val="20"/>
        </w:rPr>
        <w:t xml:space="preserve">La gestión de este riesgo debe estar acorde con el perfil y marco de apetito de riesgo de la entidad y/o los portafolios administrados (según corresponda), el plan de negocio, la naturaleza, el tamaño, la complejidad y la diversidad de las actividades que desarrolle la entidad, así como con su importancia por tamaño e interconectividad en el sistema financiero y los entornos económicos y de los mercados en donde </w:t>
      </w:r>
      <w:r w:rsidR="00F446C2">
        <w:rPr>
          <w:rFonts w:ascii="Verdana" w:hAnsi="Verdana"/>
          <w:sz w:val="20"/>
          <w:szCs w:val="20"/>
        </w:rPr>
        <w:t>la entidad</w:t>
      </w:r>
      <w:r w:rsidRPr="008D221D">
        <w:rPr>
          <w:rFonts w:ascii="Verdana" w:hAnsi="Verdana"/>
          <w:sz w:val="20"/>
          <w:szCs w:val="20"/>
        </w:rPr>
        <w:t xml:space="preserve"> opera.</w:t>
      </w:r>
    </w:p>
    <w:p w14:paraId="4E33C418" w14:textId="6C740842" w:rsidR="008D221D" w:rsidRPr="000001A2" w:rsidRDefault="004E3296" w:rsidP="00766CA6">
      <w:pPr>
        <w:spacing w:after="0"/>
        <w:jc w:val="both"/>
        <w:rPr>
          <w:rFonts w:ascii="Verdana" w:hAnsi="Verdana"/>
          <w:sz w:val="20"/>
          <w:szCs w:val="20"/>
        </w:rPr>
      </w:pPr>
      <w:r w:rsidRPr="003F3D3E">
        <w:rPr>
          <w:rFonts w:ascii="Verdana" w:hAnsi="Verdana"/>
          <w:sz w:val="20"/>
          <w:szCs w:val="20"/>
        </w:rPr>
        <w:t>1</w:t>
      </w:r>
      <w:r w:rsidR="008D221D">
        <w:rPr>
          <w:rFonts w:ascii="Verdana" w:hAnsi="Verdana"/>
          <w:sz w:val="20"/>
          <w:szCs w:val="20"/>
        </w:rPr>
        <w:t>.1.2.8</w:t>
      </w:r>
      <w:r w:rsidR="00F94169">
        <w:rPr>
          <w:rFonts w:ascii="Verdana" w:hAnsi="Verdana"/>
          <w:sz w:val="20"/>
          <w:szCs w:val="20"/>
        </w:rPr>
        <w:t>1</w:t>
      </w:r>
      <w:r w:rsidR="008D221D">
        <w:rPr>
          <w:rFonts w:ascii="Verdana" w:hAnsi="Verdana"/>
          <w:sz w:val="20"/>
          <w:szCs w:val="20"/>
        </w:rPr>
        <w:t>.</w:t>
      </w:r>
    </w:p>
    <w:p w14:paraId="7105AEB8" w14:textId="5F83504E" w:rsidR="004E5C13" w:rsidRDefault="008D221D" w:rsidP="00766CA6">
      <w:pPr>
        <w:jc w:val="both"/>
        <w:rPr>
          <w:rFonts w:ascii="Verdana" w:hAnsi="Verdana"/>
          <w:sz w:val="20"/>
          <w:szCs w:val="20"/>
        </w:rPr>
      </w:pPr>
      <w:r w:rsidRPr="008D221D">
        <w:rPr>
          <w:rFonts w:ascii="Verdana" w:hAnsi="Verdana"/>
          <w:sz w:val="20"/>
          <w:szCs w:val="20"/>
        </w:rPr>
        <w:t>Las entidades vigiladas que no se relacionen explícitamente en</w:t>
      </w:r>
      <w:r w:rsidR="000C6E5A">
        <w:rPr>
          <w:rFonts w:ascii="Verdana" w:hAnsi="Verdana"/>
          <w:sz w:val="20"/>
          <w:szCs w:val="20"/>
        </w:rPr>
        <w:t>tre los párrafos 1.1.2.8</w:t>
      </w:r>
      <w:r w:rsidR="00D44B45">
        <w:rPr>
          <w:rFonts w:ascii="Verdana" w:hAnsi="Verdana"/>
          <w:sz w:val="20"/>
          <w:szCs w:val="20"/>
        </w:rPr>
        <w:t>7</w:t>
      </w:r>
      <w:r w:rsidR="000C6E5A">
        <w:rPr>
          <w:rFonts w:ascii="Verdana" w:hAnsi="Verdana"/>
          <w:sz w:val="20"/>
          <w:szCs w:val="20"/>
        </w:rPr>
        <w:t>. y 1.1.2.</w:t>
      </w:r>
      <w:r w:rsidR="00D44B45">
        <w:rPr>
          <w:rFonts w:ascii="Verdana" w:hAnsi="Verdana"/>
          <w:sz w:val="20"/>
          <w:szCs w:val="20"/>
        </w:rPr>
        <w:t>9</w:t>
      </w:r>
      <w:r w:rsidR="000C6E5A">
        <w:rPr>
          <w:rFonts w:ascii="Verdana" w:hAnsi="Verdana"/>
          <w:sz w:val="20"/>
          <w:szCs w:val="20"/>
        </w:rPr>
        <w:t xml:space="preserve">2. </w:t>
      </w:r>
      <w:r w:rsidRPr="008D221D">
        <w:rPr>
          <w:rFonts w:ascii="Verdana" w:hAnsi="Verdana"/>
          <w:sz w:val="20"/>
          <w:szCs w:val="20"/>
        </w:rPr>
        <w:t xml:space="preserve">no deben aplicar lo concerniente </w:t>
      </w:r>
      <w:r w:rsidR="00095872">
        <w:rPr>
          <w:rFonts w:ascii="Verdana" w:hAnsi="Verdana"/>
          <w:sz w:val="20"/>
          <w:szCs w:val="20"/>
        </w:rPr>
        <w:t>a la etapa de medición</w:t>
      </w:r>
      <w:r w:rsidR="004D4585">
        <w:rPr>
          <w:rFonts w:ascii="Verdana" w:hAnsi="Verdana"/>
          <w:sz w:val="20"/>
          <w:szCs w:val="20"/>
        </w:rPr>
        <w:t xml:space="preserve">. </w:t>
      </w:r>
    </w:p>
    <w:p w14:paraId="020CC6BA" w14:textId="78B34C9E" w:rsidR="004E5C13" w:rsidRPr="007735FE" w:rsidRDefault="00985F15" w:rsidP="00766CA6">
      <w:pPr>
        <w:jc w:val="both"/>
        <w:rPr>
          <w:rFonts w:ascii="Verdana" w:hAnsi="Verdana"/>
          <w:b/>
          <w:bCs/>
          <w:sz w:val="20"/>
          <w:szCs w:val="20"/>
        </w:rPr>
      </w:pPr>
      <w:r>
        <w:rPr>
          <w:rFonts w:ascii="Verdana" w:hAnsi="Verdana"/>
          <w:b/>
          <w:bCs/>
          <w:sz w:val="20"/>
          <w:szCs w:val="20"/>
        </w:rPr>
        <w:t>Componentes</w:t>
      </w:r>
    </w:p>
    <w:p w14:paraId="2E980C44" w14:textId="72053FB5" w:rsidR="00D77873" w:rsidRPr="000001A2" w:rsidRDefault="00985F15" w:rsidP="00766CA6">
      <w:pPr>
        <w:spacing w:after="0"/>
        <w:jc w:val="both"/>
        <w:rPr>
          <w:rFonts w:ascii="Verdana" w:hAnsi="Verdana"/>
          <w:sz w:val="20"/>
          <w:szCs w:val="20"/>
        </w:rPr>
      </w:pPr>
      <w:r>
        <w:rPr>
          <w:rFonts w:ascii="Verdana" w:hAnsi="Verdana"/>
          <w:sz w:val="20"/>
          <w:szCs w:val="20"/>
        </w:rPr>
        <w:t>1</w:t>
      </w:r>
      <w:r w:rsidR="00D77873">
        <w:rPr>
          <w:rFonts w:ascii="Verdana" w:hAnsi="Verdana"/>
          <w:sz w:val="20"/>
          <w:szCs w:val="20"/>
        </w:rPr>
        <w:t>.1.2.8</w:t>
      </w:r>
      <w:r w:rsidR="00F94169">
        <w:rPr>
          <w:rFonts w:ascii="Verdana" w:hAnsi="Verdana"/>
          <w:sz w:val="20"/>
          <w:szCs w:val="20"/>
        </w:rPr>
        <w:t>2</w:t>
      </w:r>
      <w:r w:rsidR="00D77873">
        <w:rPr>
          <w:rFonts w:ascii="Verdana" w:hAnsi="Verdana"/>
          <w:sz w:val="20"/>
          <w:szCs w:val="20"/>
        </w:rPr>
        <w:t>.</w:t>
      </w:r>
    </w:p>
    <w:p w14:paraId="6C9C0EAA" w14:textId="77777777" w:rsidR="00344757" w:rsidRDefault="00E35B3E" w:rsidP="00766CA6">
      <w:pPr>
        <w:jc w:val="both"/>
        <w:rPr>
          <w:rFonts w:ascii="Verdana" w:hAnsi="Verdana"/>
          <w:sz w:val="20"/>
          <w:szCs w:val="20"/>
        </w:rPr>
      </w:pPr>
      <w:r w:rsidRPr="00E35B3E">
        <w:rPr>
          <w:rFonts w:ascii="Verdana" w:hAnsi="Verdana"/>
          <w:sz w:val="20"/>
          <w:szCs w:val="20"/>
        </w:rPr>
        <w:t>La entidad que en el desarrollo de sus operaciones autorizadas se encuentre expuesta al riesgo de mercado tanto en cuenta propia, portafolios administrados como por cuenta de terceros, debe contar con una adecuada gestión del riesgo de mercado que le permita una visión integral de este riesgo en el desarrollo de su negocio, para lo cual deben existir, las políticas, procedimientos, umbrales, límites, alertas tempranas, controles, metodologías, modelos y sistemas de información para su instrumentación</w:t>
      </w:r>
      <w:r w:rsidR="00344757">
        <w:rPr>
          <w:rFonts w:ascii="Verdana" w:hAnsi="Verdana"/>
          <w:sz w:val="20"/>
          <w:szCs w:val="20"/>
        </w:rPr>
        <w:t>.</w:t>
      </w:r>
    </w:p>
    <w:p w14:paraId="39EB89D1" w14:textId="6CBFD35B" w:rsidR="00344757" w:rsidRPr="007735FE" w:rsidRDefault="00344757" w:rsidP="00766CA6">
      <w:pPr>
        <w:jc w:val="both"/>
        <w:rPr>
          <w:rFonts w:ascii="Verdana" w:hAnsi="Verdana"/>
          <w:b/>
          <w:bCs/>
          <w:sz w:val="20"/>
          <w:szCs w:val="20"/>
        </w:rPr>
      </w:pPr>
      <w:r>
        <w:rPr>
          <w:rFonts w:ascii="Verdana" w:hAnsi="Verdana"/>
          <w:b/>
          <w:bCs/>
          <w:sz w:val="20"/>
          <w:szCs w:val="20"/>
        </w:rPr>
        <w:t>Etapas</w:t>
      </w:r>
    </w:p>
    <w:p w14:paraId="231E5043" w14:textId="678C8C30" w:rsidR="00E35B3E" w:rsidRPr="00443A04" w:rsidRDefault="00344757" w:rsidP="00766CA6">
      <w:pPr>
        <w:spacing w:after="0"/>
        <w:jc w:val="both"/>
        <w:rPr>
          <w:rFonts w:ascii="Verdana" w:hAnsi="Verdana"/>
          <w:sz w:val="20"/>
          <w:szCs w:val="20"/>
        </w:rPr>
      </w:pPr>
      <w:r>
        <w:rPr>
          <w:rFonts w:ascii="Verdana" w:hAnsi="Verdana"/>
          <w:sz w:val="20"/>
          <w:szCs w:val="20"/>
        </w:rPr>
        <w:t>1</w:t>
      </w:r>
      <w:r w:rsidR="00E35B3E">
        <w:rPr>
          <w:rFonts w:ascii="Verdana" w:hAnsi="Verdana"/>
          <w:sz w:val="20"/>
          <w:szCs w:val="20"/>
        </w:rPr>
        <w:t>.1.2.8</w:t>
      </w:r>
      <w:r w:rsidR="00F94169">
        <w:rPr>
          <w:rFonts w:ascii="Verdana" w:hAnsi="Verdana"/>
          <w:sz w:val="20"/>
          <w:szCs w:val="20"/>
        </w:rPr>
        <w:t>3</w:t>
      </w:r>
      <w:r w:rsidR="00E35B3E">
        <w:rPr>
          <w:rFonts w:ascii="Verdana" w:hAnsi="Verdana"/>
          <w:sz w:val="20"/>
          <w:szCs w:val="20"/>
        </w:rPr>
        <w:t>.</w:t>
      </w:r>
    </w:p>
    <w:p w14:paraId="5CF9DC46" w14:textId="757F530C" w:rsidR="00E35B3E" w:rsidRPr="00443A04" w:rsidRDefault="00E35B3E" w:rsidP="00766CA6">
      <w:pPr>
        <w:jc w:val="both"/>
        <w:rPr>
          <w:rFonts w:ascii="Verdana" w:hAnsi="Verdana"/>
          <w:sz w:val="20"/>
          <w:szCs w:val="20"/>
        </w:rPr>
      </w:pPr>
      <w:r w:rsidRPr="00640CED">
        <w:rPr>
          <w:rFonts w:ascii="Verdana" w:hAnsi="Verdana"/>
          <w:sz w:val="20"/>
          <w:szCs w:val="20"/>
        </w:rPr>
        <w:t xml:space="preserve">Para la </w:t>
      </w:r>
      <w:r w:rsidR="000142AB" w:rsidRPr="000142AB">
        <w:rPr>
          <w:rFonts w:ascii="Verdana" w:hAnsi="Verdana"/>
          <w:sz w:val="20"/>
          <w:szCs w:val="20"/>
        </w:rPr>
        <w:t>administración del riesgo de mercado la entidad debe desarrollar las siguientes etapas</w:t>
      </w:r>
      <w:r w:rsidRPr="00640CED">
        <w:rPr>
          <w:rFonts w:ascii="Verdana" w:hAnsi="Verdana"/>
          <w:sz w:val="20"/>
          <w:szCs w:val="20"/>
        </w:rPr>
        <w:t>:</w:t>
      </w:r>
    </w:p>
    <w:p w14:paraId="788463A2" w14:textId="77777777" w:rsidR="00E35B3E" w:rsidRPr="00732E97" w:rsidRDefault="00E35B3E"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Identificación</w:t>
      </w:r>
    </w:p>
    <w:p w14:paraId="09EF47E0" w14:textId="7B6C3A18" w:rsidR="00E35B3E" w:rsidRPr="0086035E" w:rsidRDefault="00E35B3E"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6D7A15">
        <w:rPr>
          <w:rFonts w:ascii="Verdana" w:hAnsi="Verdana"/>
          <w:sz w:val="20"/>
          <w:szCs w:val="20"/>
        </w:rPr>
        <w:t>8</w:t>
      </w:r>
      <w:r w:rsidR="00F94169">
        <w:rPr>
          <w:rFonts w:ascii="Verdana" w:hAnsi="Verdana"/>
          <w:sz w:val="20"/>
          <w:szCs w:val="20"/>
        </w:rPr>
        <w:t>4</w:t>
      </w:r>
      <w:r w:rsidRPr="0086035E">
        <w:rPr>
          <w:rFonts w:ascii="Verdana" w:hAnsi="Verdana"/>
          <w:sz w:val="20"/>
          <w:szCs w:val="20"/>
        </w:rPr>
        <w:t>.</w:t>
      </w:r>
    </w:p>
    <w:p w14:paraId="3BA4FFF7" w14:textId="585033D3" w:rsidR="00E35B3E" w:rsidRDefault="007842B8" w:rsidP="00766CA6">
      <w:pPr>
        <w:jc w:val="both"/>
        <w:rPr>
          <w:rFonts w:ascii="Verdana" w:hAnsi="Verdana"/>
          <w:sz w:val="20"/>
          <w:szCs w:val="20"/>
        </w:rPr>
      </w:pPr>
      <w:r w:rsidRPr="007842B8">
        <w:rPr>
          <w:rFonts w:ascii="Verdana" w:hAnsi="Verdana"/>
          <w:sz w:val="20"/>
          <w:szCs w:val="20"/>
        </w:rPr>
        <w:t>La entidad debe identificar el riesgo de mercado al que está expuesta en función del tipo de las posiciones que asume, de conformidad con las operaciones autorizadas, el plan de negocio y apetito de riesgo definido por la entidad. Cuando sean aplicables la entidad debe considerar los siguientes factores de riesgo de mercado</w:t>
      </w:r>
      <w:r w:rsidR="006D7A15">
        <w:rPr>
          <w:rFonts w:ascii="Verdana" w:hAnsi="Verdana"/>
          <w:sz w:val="20"/>
          <w:szCs w:val="20"/>
        </w:rPr>
        <w:t>:</w:t>
      </w:r>
    </w:p>
    <w:p w14:paraId="43472A46" w14:textId="77777777" w:rsidR="006D7A15" w:rsidRDefault="006D7A15" w:rsidP="00766CA6">
      <w:pPr>
        <w:pStyle w:val="Prrafodelista"/>
        <w:numPr>
          <w:ilvl w:val="0"/>
          <w:numId w:val="30"/>
        </w:numPr>
        <w:ind w:left="567" w:hanging="567"/>
        <w:jc w:val="both"/>
        <w:rPr>
          <w:rFonts w:ascii="Verdana" w:hAnsi="Verdana"/>
          <w:sz w:val="20"/>
          <w:szCs w:val="20"/>
        </w:rPr>
      </w:pPr>
      <w:r w:rsidRPr="006D7A15">
        <w:rPr>
          <w:rFonts w:ascii="Verdana" w:hAnsi="Verdana"/>
          <w:sz w:val="20"/>
          <w:szCs w:val="20"/>
        </w:rPr>
        <w:lastRenderedPageBreak/>
        <w:t>Tasa de interés en moneda legal.</w:t>
      </w:r>
    </w:p>
    <w:p w14:paraId="19FC5928" w14:textId="77777777" w:rsidR="006D7A15" w:rsidRDefault="006D7A15" w:rsidP="00766CA6">
      <w:pPr>
        <w:pStyle w:val="Prrafodelista"/>
        <w:ind w:left="567"/>
        <w:jc w:val="both"/>
        <w:rPr>
          <w:rFonts w:ascii="Verdana" w:hAnsi="Verdana"/>
          <w:sz w:val="20"/>
          <w:szCs w:val="20"/>
        </w:rPr>
      </w:pPr>
    </w:p>
    <w:p w14:paraId="07002E73" w14:textId="77777777" w:rsidR="006D7A15" w:rsidRDefault="006D7A15" w:rsidP="00766CA6">
      <w:pPr>
        <w:pStyle w:val="Prrafodelista"/>
        <w:numPr>
          <w:ilvl w:val="0"/>
          <w:numId w:val="30"/>
        </w:numPr>
        <w:ind w:left="567" w:hanging="567"/>
        <w:jc w:val="both"/>
        <w:rPr>
          <w:rFonts w:ascii="Verdana" w:hAnsi="Verdana"/>
          <w:sz w:val="20"/>
          <w:szCs w:val="20"/>
        </w:rPr>
      </w:pPr>
      <w:r w:rsidRPr="006D7A15">
        <w:rPr>
          <w:rFonts w:ascii="Verdana" w:hAnsi="Verdana"/>
          <w:sz w:val="20"/>
          <w:szCs w:val="20"/>
        </w:rPr>
        <w:t>Tasa de interés en moneda extranjera.</w:t>
      </w:r>
    </w:p>
    <w:p w14:paraId="2D02B2F7" w14:textId="77777777" w:rsidR="006D7A15" w:rsidRPr="006D7A15" w:rsidRDefault="006D7A15" w:rsidP="00766CA6">
      <w:pPr>
        <w:pStyle w:val="Prrafodelista"/>
        <w:jc w:val="both"/>
        <w:rPr>
          <w:rFonts w:ascii="Verdana" w:hAnsi="Verdana"/>
          <w:sz w:val="20"/>
          <w:szCs w:val="20"/>
        </w:rPr>
      </w:pPr>
    </w:p>
    <w:p w14:paraId="64B52B9E" w14:textId="77777777" w:rsidR="006D7A15" w:rsidRDefault="006D7A15" w:rsidP="00766CA6">
      <w:pPr>
        <w:pStyle w:val="Prrafodelista"/>
        <w:numPr>
          <w:ilvl w:val="0"/>
          <w:numId w:val="30"/>
        </w:numPr>
        <w:ind w:left="567" w:hanging="567"/>
        <w:jc w:val="both"/>
        <w:rPr>
          <w:rFonts w:ascii="Verdana" w:hAnsi="Verdana"/>
          <w:sz w:val="20"/>
          <w:szCs w:val="20"/>
        </w:rPr>
      </w:pPr>
      <w:r w:rsidRPr="006D7A15">
        <w:rPr>
          <w:rFonts w:ascii="Verdana" w:hAnsi="Verdana"/>
          <w:sz w:val="20"/>
          <w:szCs w:val="20"/>
        </w:rPr>
        <w:t>Tasa de interés en operaciones pactadas a tasa variable, es decir indexados, a UVR, IPC o IBR, entre otros.</w:t>
      </w:r>
    </w:p>
    <w:p w14:paraId="1557329B" w14:textId="77777777" w:rsidR="006D7A15" w:rsidRPr="006D7A15" w:rsidRDefault="006D7A15" w:rsidP="00766CA6">
      <w:pPr>
        <w:pStyle w:val="Prrafodelista"/>
        <w:jc w:val="both"/>
        <w:rPr>
          <w:rFonts w:ascii="Verdana" w:hAnsi="Verdana"/>
          <w:sz w:val="20"/>
          <w:szCs w:val="20"/>
        </w:rPr>
      </w:pPr>
    </w:p>
    <w:p w14:paraId="3DC1AB58" w14:textId="77777777" w:rsidR="006D7A15" w:rsidRDefault="006D7A15" w:rsidP="00766CA6">
      <w:pPr>
        <w:pStyle w:val="Prrafodelista"/>
        <w:numPr>
          <w:ilvl w:val="0"/>
          <w:numId w:val="30"/>
        </w:numPr>
        <w:ind w:left="567" w:hanging="567"/>
        <w:jc w:val="both"/>
        <w:rPr>
          <w:rFonts w:ascii="Verdana" w:hAnsi="Verdana"/>
          <w:sz w:val="20"/>
          <w:szCs w:val="20"/>
        </w:rPr>
      </w:pPr>
      <w:r w:rsidRPr="006D7A15">
        <w:rPr>
          <w:rFonts w:ascii="Verdana" w:hAnsi="Verdana"/>
          <w:sz w:val="20"/>
          <w:szCs w:val="20"/>
        </w:rPr>
        <w:t>Tipo de cambio.</w:t>
      </w:r>
    </w:p>
    <w:p w14:paraId="49D719D2" w14:textId="77777777" w:rsidR="006D7A15" w:rsidRPr="006D7A15" w:rsidRDefault="006D7A15" w:rsidP="00766CA6">
      <w:pPr>
        <w:pStyle w:val="Prrafodelista"/>
        <w:jc w:val="both"/>
        <w:rPr>
          <w:rFonts w:ascii="Verdana" w:hAnsi="Verdana"/>
          <w:sz w:val="20"/>
          <w:szCs w:val="20"/>
        </w:rPr>
      </w:pPr>
    </w:p>
    <w:p w14:paraId="706FBD1E" w14:textId="77777777" w:rsidR="006D7A15" w:rsidRDefault="006D7A15" w:rsidP="00766CA6">
      <w:pPr>
        <w:pStyle w:val="Prrafodelista"/>
        <w:numPr>
          <w:ilvl w:val="0"/>
          <w:numId w:val="30"/>
        </w:numPr>
        <w:ind w:left="567" w:hanging="567"/>
        <w:jc w:val="both"/>
        <w:rPr>
          <w:rFonts w:ascii="Verdana" w:hAnsi="Verdana"/>
          <w:sz w:val="20"/>
          <w:szCs w:val="20"/>
        </w:rPr>
      </w:pPr>
      <w:r w:rsidRPr="006D7A15">
        <w:rPr>
          <w:rFonts w:ascii="Verdana" w:hAnsi="Verdana"/>
          <w:sz w:val="20"/>
          <w:szCs w:val="20"/>
        </w:rPr>
        <w:t>Precio de acciones.</w:t>
      </w:r>
    </w:p>
    <w:p w14:paraId="09B71F0A" w14:textId="77777777" w:rsidR="006D7A15" w:rsidRPr="006D7A15" w:rsidRDefault="006D7A15" w:rsidP="00766CA6">
      <w:pPr>
        <w:pStyle w:val="Prrafodelista"/>
        <w:jc w:val="both"/>
        <w:rPr>
          <w:rFonts w:ascii="Verdana" w:hAnsi="Verdana"/>
          <w:sz w:val="20"/>
          <w:szCs w:val="20"/>
        </w:rPr>
      </w:pPr>
    </w:p>
    <w:p w14:paraId="3D14EAC0" w14:textId="6163925A" w:rsidR="007842B8" w:rsidRPr="006D7A15" w:rsidRDefault="006D7A15" w:rsidP="00766CA6">
      <w:pPr>
        <w:pStyle w:val="Prrafodelista"/>
        <w:numPr>
          <w:ilvl w:val="0"/>
          <w:numId w:val="30"/>
        </w:numPr>
        <w:ind w:left="567" w:hanging="567"/>
        <w:jc w:val="both"/>
        <w:rPr>
          <w:rFonts w:ascii="Verdana" w:hAnsi="Verdana"/>
          <w:sz w:val="20"/>
          <w:szCs w:val="20"/>
        </w:rPr>
      </w:pPr>
      <w:r w:rsidRPr="006D7A15">
        <w:rPr>
          <w:rFonts w:ascii="Verdana" w:hAnsi="Verdana"/>
          <w:sz w:val="20"/>
          <w:szCs w:val="20"/>
        </w:rPr>
        <w:t>FIC.</w:t>
      </w:r>
    </w:p>
    <w:p w14:paraId="54CAB2DD" w14:textId="10092ED5" w:rsidR="006D7A15" w:rsidRPr="006D7A15" w:rsidRDefault="006D7A15" w:rsidP="00766CA6">
      <w:pPr>
        <w:spacing w:after="0"/>
        <w:jc w:val="both"/>
        <w:rPr>
          <w:rFonts w:ascii="Verdana" w:hAnsi="Verdana"/>
          <w:sz w:val="20"/>
          <w:szCs w:val="20"/>
        </w:rPr>
      </w:pPr>
      <w:r w:rsidRPr="006D7A15">
        <w:rPr>
          <w:rFonts w:ascii="Verdana" w:hAnsi="Verdana"/>
          <w:sz w:val="20"/>
          <w:szCs w:val="20"/>
        </w:rPr>
        <w:t>1.1.2.8</w:t>
      </w:r>
      <w:r w:rsidR="00F94169">
        <w:rPr>
          <w:rFonts w:ascii="Verdana" w:hAnsi="Verdana"/>
          <w:sz w:val="20"/>
          <w:szCs w:val="20"/>
        </w:rPr>
        <w:t>5</w:t>
      </w:r>
      <w:r w:rsidRPr="006D7A15">
        <w:rPr>
          <w:rFonts w:ascii="Verdana" w:hAnsi="Verdana"/>
          <w:sz w:val="20"/>
          <w:szCs w:val="20"/>
        </w:rPr>
        <w:t>.</w:t>
      </w:r>
    </w:p>
    <w:p w14:paraId="706B4F1F" w14:textId="6459547A" w:rsidR="006D7A15" w:rsidRDefault="001E2A85" w:rsidP="00766CA6">
      <w:pPr>
        <w:jc w:val="both"/>
        <w:rPr>
          <w:rFonts w:ascii="Verdana" w:hAnsi="Verdana"/>
          <w:sz w:val="20"/>
          <w:szCs w:val="20"/>
        </w:rPr>
      </w:pPr>
      <w:r w:rsidRPr="001E2A85">
        <w:rPr>
          <w:rFonts w:ascii="Verdana" w:hAnsi="Verdana"/>
          <w:sz w:val="20"/>
          <w:szCs w:val="20"/>
        </w:rPr>
        <w:t xml:space="preserve">Esta etapa también </w:t>
      </w:r>
      <w:r w:rsidR="007A5CCE">
        <w:rPr>
          <w:rFonts w:ascii="Verdana" w:hAnsi="Verdana"/>
          <w:sz w:val="20"/>
          <w:szCs w:val="20"/>
        </w:rPr>
        <w:t xml:space="preserve">se </w:t>
      </w:r>
      <w:r w:rsidRPr="001E2A85">
        <w:rPr>
          <w:rFonts w:ascii="Verdana" w:hAnsi="Verdana"/>
          <w:sz w:val="20"/>
          <w:szCs w:val="20"/>
        </w:rPr>
        <w:t>debe realizar</w:t>
      </w:r>
      <w:r w:rsidR="007A5CCE">
        <w:rPr>
          <w:rFonts w:ascii="Verdana" w:hAnsi="Verdana"/>
          <w:sz w:val="20"/>
          <w:szCs w:val="20"/>
        </w:rPr>
        <w:t xml:space="preserve"> </w:t>
      </w:r>
      <w:r w:rsidRPr="001E2A85">
        <w:rPr>
          <w:rFonts w:ascii="Verdana" w:hAnsi="Verdana"/>
          <w:sz w:val="20"/>
          <w:szCs w:val="20"/>
        </w:rPr>
        <w:t>previamente a la realización de nuevas actividades, determinando el perfil de riesgo y cuantificando el impacto que éstos tienen en el nivel de exposición al riesgo de mercado de la entidad.</w:t>
      </w:r>
    </w:p>
    <w:p w14:paraId="43FC8B49" w14:textId="77777777" w:rsidR="00E35B3E" w:rsidRPr="00732E97" w:rsidRDefault="00E35B3E"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Medición</w:t>
      </w:r>
    </w:p>
    <w:p w14:paraId="4A784038" w14:textId="3E1AE053" w:rsidR="00E35B3E" w:rsidRPr="0086035E" w:rsidRDefault="00E35B3E"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1E2A85">
        <w:rPr>
          <w:rFonts w:ascii="Verdana" w:hAnsi="Verdana"/>
          <w:sz w:val="20"/>
          <w:szCs w:val="20"/>
        </w:rPr>
        <w:t>8</w:t>
      </w:r>
      <w:r w:rsidR="00F94169">
        <w:rPr>
          <w:rFonts w:ascii="Verdana" w:hAnsi="Verdana"/>
          <w:sz w:val="20"/>
          <w:szCs w:val="20"/>
        </w:rPr>
        <w:t>6</w:t>
      </w:r>
      <w:r w:rsidRPr="0086035E">
        <w:rPr>
          <w:rFonts w:ascii="Verdana" w:hAnsi="Verdana"/>
          <w:sz w:val="20"/>
          <w:szCs w:val="20"/>
        </w:rPr>
        <w:t>.</w:t>
      </w:r>
    </w:p>
    <w:p w14:paraId="7E45B03C" w14:textId="77777777" w:rsidR="004E3296" w:rsidRPr="000209E8" w:rsidRDefault="00E35B3E" w:rsidP="00766CA6">
      <w:pPr>
        <w:jc w:val="both"/>
        <w:rPr>
          <w:rFonts w:ascii="Verdana" w:hAnsi="Verdana"/>
          <w:sz w:val="20"/>
          <w:szCs w:val="20"/>
        </w:rPr>
      </w:pPr>
      <w:r w:rsidRPr="00D01D7F">
        <w:rPr>
          <w:rFonts w:ascii="Verdana" w:hAnsi="Verdana"/>
          <w:sz w:val="20"/>
          <w:szCs w:val="20"/>
        </w:rPr>
        <w:t xml:space="preserve">La </w:t>
      </w:r>
      <w:r w:rsidR="00120BC0" w:rsidRPr="00120BC0">
        <w:rPr>
          <w:rFonts w:ascii="Verdana" w:hAnsi="Verdana"/>
          <w:sz w:val="20"/>
          <w:szCs w:val="20"/>
        </w:rPr>
        <w:t>entidad debe contar con un sistema de información y las metodologías que sean apropiadas para la complejidad y nivel de los riesgos involucrados en sus actividades y que le permita medir y cuantificar las pérdidas esperadas derivadas de la exposición al riesgo de mercado, de acuerdo con las siguientes instrucciones.</w:t>
      </w:r>
    </w:p>
    <w:p w14:paraId="2509C197" w14:textId="5E2B36D6" w:rsidR="00120BC0" w:rsidRPr="0086035E" w:rsidRDefault="004E3296" w:rsidP="00766CA6">
      <w:pPr>
        <w:spacing w:after="0"/>
        <w:jc w:val="both"/>
        <w:rPr>
          <w:rFonts w:ascii="Verdana" w:hAnsi="Verdana"/>
          <w:sz w:val="20"/>
          <w:szCs w:val="20"/>
        </w:rPr>
      </w:pPr>
      <w:r w:rsidRPr="003F3D3E">
        <w:rPr>
          <w:rFonts w:ascii="Verdana" w:hAnsi="Verdana"/>
          <w:sz w:val="20"/>
          <w:szCs w:val="20"/>
        </w:rPr>
        <w:t>1</w:t>
      </w:r>
      <w:r w:rsidR="00120BC0" w:rsidRPr="0086035E">
        <w:rPr>
          <w:rFonts w:ascii="Verdana" w:hAnsi="Verdana"/>
          <w:sz w:val="20"/>
          <w:szCs w:val="20"/>
        </w:rPr>
        <w:t>.1.</w:t>
      </w:r>
      <w:r w:rsidR="00120BC0">
        <w:rPr>
          <w:rFonts w:ascii="Verdana" w:hAnsi="Verdana"/>
          <w:sz w:val="20"/>
          <w:szCs w:val="20"/>
        </w:rPr>
        <w:t>2</w:t>
      </w:r>
      <w:r w:rsidR="00120BC0" w:rsidRPr="0086035E">
        <w:rPr>
          <w:rFonts w:ascii="Verdana" w:hAnsi="Verdana"/>
          <w:sz w:val="20"/>
          <w:szCs w:val="20"/>
        </w:rPr>
        <w:t>.</w:t>
      </w:r>
      <w:r w:rsidR="00120BC0">
        <w:rPr>
          <w:rFonts w:ascii="Verdana" w:hAnsi="Verdana"/>
          <w:sz w:val="20"/>
          <w:szCs w:val="20"/>
        </w:rPr>
        <w:t>8</w:t>
      </w:r>
      <w:r w:rsidR="00452C66">
        <w:rPr>
          <w:rFonts w:ascii="Verdana" w:hAnsi="Verdana"/>
          <w:sz w:val="20"/>
          <w:szCs w:val="20"/>
        </w:rPr>
        <w:t>7</w:t>
      </w:r>
      <w:r w:rsidR="00120BC0" w:rsidRPr="0086035E">
        <w:rPr>
          <w:rFonts w:ascii="Verdana" w:hAnsi="Verdana"/>
          <w:sz w:val="20"/>
          <w:szCs w:val="20"/>
        </w:rPr>
        <w:t>.</w:t>
      </w:r>
    </w:p>
    <w:p w14:paraId="7FFF7C24" w14:textId="77777777" w:rsidR="00561AD6" w:rsidRDefault="00561AD6" w:rsidP="00766CA6">
      <w:pPr>
        <w:jc w:val="both"/>
        <w:rPr>
          <w:rFonts w:ascii="Verdana" w:hAnsi="Verdana"/>
          <w:sz w:val="20"/>
          <w:szCs w:val="20"/>
        </w:rPr>
      </w:pPr>
      <w:r w:rsidRPr="00CC54C6">
        <w:rPr>
          <w:rFonts w:ascii="Verdana" w:hAnsi="Verdana"/>
          <w:sz w:val="20"/>
          <w:szCs w:val="20"/>
        </w:rPr>
        <w:t>Los EC, las IOE</w:t>
      </w:r>
      <w:r w:rsidRPr="00561AD6">
        <w:rPr>
          <w:rFonts w:ascii="Verdana" w:hAnsi="Verdana"/>
          <w:sz w:val="20"/>
          <w:szCs w:val="20"/>
        </w:rPr>
        <w:t xml:space="preserve"> y los organismos cooperativos de grado superior</w:t>
      </w:r>
      <w:r>
        <w:rPr>
          <w:rFonts w:ascii="Verdana" w:hAnsi="Verdana"/>
          <w:sz w:val="20"/>
          <w:szCs w:val="20"/>
        </w:rPr>
        <w:t>:</w:t>
      </w:r>
    </w:p>
    <w:p w14:paraId="49226F9A" w14:textId="6AD27D75" w:rsidR="001B28B8" w:rsidRDefault="001B28B8" w:rsidP="00766CA6">
      <w:pPr>
        <w:pStyle w:val="Prrafodelista"/>
        <w:numPr>
          <w:ilvl w:val="0"/>
          <w:numId w:val="31"/>
        </w:numPr>
        <w:ind w:left="567" w:hanging="567"/>
        <w:jc w:val="both"/>
        <w:rPr>
          <w:rFonts w:ascii="Verdana" w:hAnsi="Verdana"/>
          <w:sz w:val="20"/>
          <w:szCs w:val="20"/>
        </w:rPr>
      </w:pPr>
      <w:r w:rsidRPr="00560C3C">
        <w:rPr>
          <w:rFonts w:ascii="Verdana" w:hAnsi="Verdana"/>
          <w:sz w:val="20"/>
          <w:szCs w:val="20"/>
        </w:rPr>
        <w:t>Pueden desarrollar e implementar</w:t>
      </w:r>
      <w:r w:rsidRPr="001B28B8">
        <w:rPr>
          <w:rFonts w:ascii="Verdana" w:hAnsi="Verdana"/>
          <w:sz w:val="20"/>
          <w:szCs w:val="20"/>
        </w:rPr>
        <w:t xml:space="preserve"> modelos internos para la medición del riesgo de mercado inherente a las posiciones en el libro de tesorería y en sus operaciones de contado.</w:t>
      </w:r>
      <w:r w:rsidR="00925C83">
        <w:rPr>
          <w:rFonts w:ascii="Verdana" w:hAnsi="Verdana"/>
          <w:sz w:val="20"/>
          <w:szCs w:val="20"/>
        </w:rPr>
        <w:t xml:space="preserve"> Las corporaciones financieras deben tener en cuenta: </w:t>
      </w:r>
    </w:p>
    <w:p w14:paraId="73B02437" w14:textId="77777777" w:rsidR="001B28B8" w:rsidRDefault="001B28B8" w:rsidP="00766CA6">
      <w:pPr>
        <w:pStyle w:val="Prrafodelista"/>
        <w:ind w:left="567"/>
        <w:jc w:val="both"/>
        <w:rPr>
          <w:rFonts w:ascii="Verdana" w:hAnsi="Verdana"/>
          <w:sz w:val="20"/>
          <w:szCs w:val="20"/>
        </w:rPr>
      </w:pPr>
    </w:p>
    <w:p w14:paraId="4355E5AB" w14:textId="646E99B0" w:rsidR="001B28B8" w:rsidRDefault="001B28B8" w:rsidP="004A6913">
      <w:pPr>
        <w:pStyle w:val="Prrafodelista"/>
        <w:numPr>
          <w:ilvl w:val="0"/>
          <w:numId w:val="40"/>
        </w:numPr>
        <w:spacing w:after="0"/>
        <w:ind w:left="1134" w:hanging="567"/>
        <w:jc w:val="both"/>
        <w:rPr>
          <w:rFonts w:ascii="Verdana" w:hAnsi="Verdana"/>
          <w:sz w:val="20"/>
          <w:szCs w:val="20"/>
        </w:rPr>
      </w:pPr>
      <w:r w:rsidRPr="001B28B8">
        <w:rPr>
          <w:rFonts w:ascii="Verdana" w:hAnsi="Verdana"/>
          <w:sz w:val="20"/>
          <w:szCs w:val="20"/>
        </w:rPr>
        <w:t>En el caso de</w:t>
      </w:r>
      <w:r w:rsidRPr="001B28B8" w:rsidDel="00925C83">
        <w:rPr>
          <w:rFonts w:ascii="Verdana" w:hAnsi="Verdana"/>
          <w:sz w:val="20"/>
          <w:szCs w:val="20"/>
        </w:rPr>
        <w:t xml:space="preserve"> </w:t>
      </w:r>
      <w:r w:rsidRPr="001B28B8">
        <w:rPr>
          <w:rFonts w:ascii="Verdana" w:hAnsi="Verdana"/>
          <w:sz w:val="20"/>
          <w:szCs w:val="20"/>
        </w:rPr>
        <w:t xml:space="preserve">los valores participativos clasificados </w:t>
      </w:r>
      <w:r w:rsidRPr="00F50946">
        <w:rPr>
          <w:rFonts w:ascii="Verdana" w:hAnsi="Verdana"/>
          <w:sz w:val="20"/>
          <w:szCs w:val="20"/>
        </w:rPr>
        <w:t>como inversiones disponibles para la venta que estas entidades definan</w:t>
      </w:r>
      <w:r w:rsidRPr="001B28B8">
        <w:rPr>
          <w:rFonts w:ascii="Verdana" w:hAnsi="Verdana"/>
          <w:sz w:val="20"/>
          <w:szCs w:val="20"/>
        </w:rPr>
        <w:t xml:space="preserve"> como parte del plan de negocio y tengan vocación de permanencia, están exceptuados de la medición de riesgo de mercado. Dicha clasificación requiere la aprobación previa de la JD, debidamente sustentada. Esta decisión debe ser informada a la SFC dentro de los 10 días comunes siguientes a su aprobación.</w:t>
      </w:r>
    </w:p>
    <w:p w14:paraId="51589EBF" w14:textId="77777777" w:rsidR="001B28B8" w:rsidRPr="001B28B8" w:rsidRDefault="001B28B8" w:rsidP="00766CA6">
      <w:pPr>
        <w:pStyle w:val="Prrafodelista"/>
        <w:jc w:val="both"/>
        <w:rPr>
          <w:rFonts w:ascii="Verdana" w:hAnsi="Verdana"/>
          <w:sz w:val="20"/>
          <w:szCs w:val="20"/>
        </w:rPr>
      </w:pPr>
    </w:p>
    <w:p w14:paraId="5B062EC8" w14:textId="026996C1" w:rsidR="001B28B8" w:rsidRDefault="001B28B8" w:rsidP="004A6913">
      <w:pPr>
        <w:pStyle w:val="Prrafodelista"/>
        <w:numPr>
          <w:ilvl w:val="0"/>
          <w:numId w:val="40"/>
        </w:numPr>
        <w:spacing w:after="0"/>
        <w:ind w:left="1134" w:hanging="567"/>
        <w:jc w:val="both"/>
        <w:rPr>
          <w:rFonts w:ascii="Verdana" w:hAnsi="Verdana"/>
          <w:sz w:val="20"/>
          <w:szCs w:val="20"/>
        </w:rPr>
      </w:pPr>
      <w:r w:rsidRPr="001B28B8">
        <w:rPr>
          <w:rFonts w:ascii="Verdana" w:hAnsi="Verdana"/>
          <w:sz w:val="20"/>
          <w:szCs w:val="20"/>
        </w:rPr>
        <w:t>Adicionalmente, cuando su JD decida que una inversión en valores participativos ya no debe considerarse como estratégica y con vocación de permanencia, dicha decisión no implica que deba dejar de clasificarse como una inversión disponible para la venta. Por lo tanto, en el evento que estas entidades decidan reclasificar los valores correspondientes en otra categoría deben observar los criterios y requisitos previstos e</w:t>
      </w:r>
      <w:r w:rsidR="006F2C70">
        <w:rPr>
          <w:rFonts w:ascii="Verdana" w:hAnsi="Verdana"/>
          <w:sz w:val="20"/>
          <w:szCs w:val="20"/>
        </w:rPr>
        <w:t xml:space="preserve">ntre los párrafos 3.4.1.24. y 3.4.1.32. de la </w:t>
      </w:r>
      <w:r w:rsidR="00F5486D">
        <w:rPr>
          <w:rFonts w:ascii="Verdana" w:hAnsi="Verdana"/>
          <w:sz w:val="20"/>
          <w:szCs w:val="20"/>
        </w:rPr>
        <w:t>CBF</w:t>
      </w:r>
      <w:r w:rsidRPr="001B28B8">
        <w:rPr>
          <w:rFonts w:ascii="Verdana" w:hAnsi="Verdana"/>
          <w:sz w:val="20"/>
          <w:szCs w:val="20"/>
        </w:rPr>
        <w:t>.</w:t>
      </w:r>
    </w:p>
    <w:p w14:paraId="173DA50C" w14:textId="77777777" w:rsidR="001B28B8" w:rsidRPr="001B28B8" w:rsidRDefault="001B28B8" w:rsidP="00766CA6">
      <w:pPr>
        <w:pStyle w:val="Prrafodelista"/>
        <w:jc w:val="both"/>
        <w:rPr>
          <w:rFonts w:ascii="Verdana" w:hAnsi="Verdana"/>
          <w:sz w:val="20"/>
          <w:szCs w:val="20"/>
        </w:rPr>
      </w:pPr>
    </w:p>
    <w:p w14:paraId="0A48F4B0" w14:textId="0027DB32" w:rsidR="00DA1825" w:rsidRDefault="001B28B8" w:rsidP="00766CA6">
      <w:pPr>
        <w:pStyle w:val="Prrafodelista"/>
        <w:numPr>
          <w:ilvl w:val="0"/>
          <w:numId w:val="31"/>
        </w:numPr>
        <w:ind w:left="567" w:hanging="567"/>
        <w:jc w:val="both"/>
        <w:rPr>
          <w:rFonts w:ascii="Verdana" w:hAnsi="Verdana"/>
          <w:sz w:val="20"/>
          <w:szCs w:val="20"/>
        </w:rPr>
      </w:pPr>
      <w:r w:rsidRPr="00560C3C">
        <w:rPr>
          <w:rFonts w:ascii="Verdana" w:hAnsi="Verdana"/>
          <w:sz w:val="20"/>
          <w:szCs w:val="20"/>
        </w:rPr>
        <w:t>Los modelos internos</w:t>
      </w:r>
      <w:r w:rsidRPr="001B28B8">
        <w:rPr>
          <w:rFonts w:ascii="Verdana" w:hAnsi="Verdana"/>
          <w:sz w:val="20"/>
          <w:szCs w:val="20"/>
        </w:rPr>
        <w:t xml:space="preserve"> mencionados pueden presentarse ante la SFC con el fin de obtener un pronunciamiento de no objeción, de acuerdo con las instrucciones establecidas en </w:t>
      </w:r>
      <w:r w:rsidR="00837CCB">
        <w:rPr>
          <w:rFonts w:ascii="Verdana" w:hAnsi="Verdana"/>
          <w:sz w:val="20"/>
          <w:szCs w:val="20"/>
        </w:rPr>
        <w:t xml:space="preserve">la </w:t>
      </w:r>
      <w:r w:rsidR="00795AFB" w:rsidRPr="00837CCB">
        <w:rPr>
          <w:rFonts w:ascii="Verdana" w:hAnsi="Verdana"/>
          <w:sz w:val="20"/>
          <w:szCs w:val="20"/>
        </w:rPr>
        <w:t xml:space="preserve">sección 3 </w:t>
      </w:r>
      <w:r w:rsidRPr="00837CCB">
        <w:rPr>
          <w:rFonts w:ascii="Verdana" w:hAnsi="Verdana"/>
          <w:sz w:val="20"/>
          <w:szCs w:val="20"/>
        </w:rPr>
        <w:t xml:space="preserve">del presente </w:t>
      </w:r>
      <w:r w:rsidR="00837CCB">
        <w:rPr>
          <w:rFonts w:ascii="Verdana" w:hAnsi="Verdana"/>
          <w:sz w:val="20"/>
          <w:szCs w:val="20"/>
        </w:rPr>
        <w:t>c</w:t>
      </w:r>
      <w:r w:rsidRPr="00837CCB">
        <w:rPr>
          <w:rFonts w:ascii="Verdana" w:hAnsi="Verdana"/>
          <w:sz w:val="20"/>
          <w:szCs w:val="20"/>
        </w:rPr>
        <w:t>apítulo</w:t>
      </w:r>
      <w:r w:rsidR="00837CCB">
        <w:rPr>
          <w:rFonts w:ascii="Verdana" w:hAnsi="Verdana"/>
          <w:sz w:val="20"/>
          <w:szCs w:val="20"/>
        </w:rPr>
        <w:t xml:space="preserve"> en relación con</w:t>
      </w:r>
      <w:r w:rsidR="00175D48">
        <w:rPr>
          <w:rFonts w:ascii="Verdana" w:hAnsi="Verdana"/>
          <w:sz w:val="20"/>
          <w:szCs w:val="20"/>
        </w:rPr>
        <w:t xml:space="preserve"> la medición</w:t>
      </w:r>
      <w:r w:rsidR="00837CCB">
        <w:rPr>
          <w:rFonts w:ascii="Verdana" w:hAnsi="Verdana"/>
          <w:sz w:val="20"/>
          <w:szCs w:val="20"/>
        </w:rPr>
        <w:t xml:space="preserve"> </w:t>
      </w:r>
      <w:r w:rsidR="00175D48">
        <w:rPr>
          <w:rFonts w:ascii="Verdana" w:hAnsi="Verdana"/>
          <w:sz w:val="20"/>
          <w:szCs w:val="20"/>
        </w:rPr>
        <w:t>d</w:t>
      </w:r>
      <w:r w:rsidR="00837CCB">
        <w:rPr>
          <w:rFonts w:ascii="Verdana" w:hAnsi="Verdana"/>
          <w:sz w:val="20"/>
          <w:szCs w:val="20"/>
        </w:rPr>
        <w:t>el riesgo de mercado</w:t>
      </w:r>
      <w:r w:rsidRPr="001B28B8">
        <w:rPr>
          <w:rFonts w:ascii="Verdana" w:hAnsi="Verdana"/>
          <w:sz w:val="20"/>
          <w:szCs w:val="20"/>
        </w:rPr>
        <w:t>.</w:t>
      </w:r>
    </w:p>
    <w:p w14:paraId="2BDFBB03" w14:textId="77777777" w:rsidR="00DA1825" w:rsidRPr="00DA1825" w:rsidRDefault="00DA1825" w:rsidP="00766CA6">
      <w:pPr>
        <w:pStyle w:val="Prrafodelista"/>
        <w:jc w:val="both"/>
        <w:rPr>
          <w:rFonts w:ascii="Verdana" w:hAnsi="Verdana"/>
          <w:sz w:val="20"/>
          <w:szCs w:val="20"/>
        </w:rPr>
      </w:pPr>
    </w:p>
    <w:p w14:paraId="3A4A6F4D" w14:textId="3C0034E6" w:rsidR="005F3BD2" w:rsidRDefault="001B28B8" w:rsidP="00766CA6">
      <w:pPr>
        <w:pStyle w:val="Prrafodelista"/>
        <w:numPr>
          <w:ilvl w:val="0"/>
          <w:numId w:val="31"/>
        </w:numPr>
        <w:ind w:left="567" w:hanging="567"/>
        <w:jc w:val="both"/>
        <w:rPr>
          <w:rFonts w:ascii="Verdana" w:hAnsi="Verdana"/>
          <w:sz w:val="20"/>
          <w:szCs w:val="20"/>
        </w:rPr>
      </w:pPr>
      <w:r w:rsidRPr="00DA1825">
        <w:rPr>
          <w:rFonts w:ascii="Verdana" w:hAnsi="Verdana"/>
          <w:sz w:val="20"/>
          <w:szCs w:val="20"/>
        </w:rPr>
        <w:t xml:space="preserve">Para efectos del reporte a la SFC, las entidades que no presenten los modelos internos mencionados ante la SFC para el pronunciamiento de no objeción, o cuyos modelos hayan sido objetados, deben implementar el modelo estándar de medición del riesgo de mercado, reportar el resultado de la medición y dar cumplimiento a los límites y medidas, de acuerdo con las instrucciones </w:t>
      </w:r>
      <w:r w:rsidR="00304200">
        <w:rPr>
          <w:rFonts w:ascii="Verdana" w:hAnsi="Verdana"/>
          <w:sz w:val="20"/>
          <w:szCs w:val="20"/>
        </w:rPr>
        <w:t xml:space="preserve">relacionadas con la </w:t>
      </w:r>
      <w:r w:rsidR="000571DA">
        <w:rPr>
          <w:rFonts w:ascii="Verdana" w:hAnsi="Verdana"/>
          <w:sz w:val="20"/>
          <w:szCs w:val="20"/>
        </w:rPr>
        <w:t>administración</w:t>
      </w:r>
      <w:r w:rsidR="00304200">
        <w:rPr>
          <w:rFonts w:ascii="Verdana" w:hAnsi="Verdana"/>
          <w:sz w:val="20"/>
          <w:szCs w:val="20"/>
        </w:rPr>
        <w:t xml:space="preserve"> del riesgo de mercado </w:t>
      </w:r>
      <w:r w:rsidRPr="00DA1825">
        <w:rPr>
          <w:rFonts w:ascii="Verdana" w:hAnsi="Verdana"/>
          <w:sz w:val="20"/>
          <w:szCs w:val="20"/>
        </w:rPr>
        <w:t xml:space="preserve">señaladas en </w:t>
      </w:r>
      <w:r w:rsidR="002D654E">
        <w:rPr>
          <w:rFonts w:ascii="Verdana" w:hAnsi="Verdana"/>
          <w:sz w:val="20"/>
          <w:szCs w:val="20"/>
        </w:rPr>
        <w:t>las secciones 2 y 3 del presente c</w:t>
      </w:r>
      <w:r w:rsidRPr="00DA1825">
        <w:rPr>
          <w:rFonts w:ascii="Verdana" w:hAnsi="Verdana"/>
          <w:sz w:val="20"/>
          <w:szCs w:val="20"/>
        </w:rPr>
        <w:t>apítulo.</w:t>
      </w:r>
    </w:p>
    <w:p w14:paraId="549CA2E1" w14:textId="77777777" w:rsidR="005F3BD2" w:rsidRPr="005F3BD2" w:rsidRDefault="005F3BD2" w:rsidP="00766CA6">
      <w:pPr>
        <w:pStyle w:val="Prrafodelista"/>
        <w:jc w:val="both"/>
        <w:rPr>
          <w:rFonts w:ascii="Verdana" w:hAnsi="Verdana"/>
          <w:sz w:val="20"/>
          <w:szCs w:val="20"/>
        </w:rPr>
      </w:pPr>
    </w:p>
    <w:p w14:paraId="35DA3127" w14:textId="03B1FC9E" w:rsidR="001B28B8" w:rsidRPr="00FD09C1" w:rsidRDefault="001B28B8" w:rsidP="00766CA6">
      <w:pPr>
        <w:pStyle w:val="Prrafodelista"/>
        <w:numPr>
          <w:ilvl w:val="0"/>
          <w:numId w:val="31"/>
        </w:numPr>
        <w:ind w:left="567" w:hanging="567"/>
        <w:jc w:val="both"/>
        <w:rPr>
          <w:rFonts w:ascii="Verdana" w:hAnsi="Verdana"/>
          <w:sz w:val="20"/>
          <w:szCs w:val="20"/>
        </w:rPr>
      </w:pPr>
      <w:r w:rsidRPr="005F3BD2">
        <w:rPr>
          <w:rFonts w:ascii="Verdana" w:hAnsi="Verdana"/>
          <w:sz w:val="20"/>
          <w:szCs w:val="20"/>
        </w:rPr>
        <w:t xml:space="preserve">Sin perjuicio de lo anterior las entidades a que se refiere este </w:t>
      </w:r>
      <w:r w:rsidR="005E2957">
        <w:rPr>
          <w:rFonts w:ascii="Verdana" w:hAnsi="Verdana"/>
          <w:sz w:val="20"/>
          <w:szCs w:val="20"/>
        </w:rPr>
        <w:t xml:space="preserve">párrafo </w:t>
      </w:r>
      <w:r w:rsidRPr="005F3BD2">
        <w:rPr>
          <w:rFonts w:ascii="Verdana" w:hAnsi="Verdana"/>
          <w:sz w:val="20"/>
          <w:szCs w:val="20"/>
        </w:rPr>
        <w:t>deben estar en capacidad de reportar el valor que resultaría de calcular la exposición a riesgos de mercado utilizando el modelo estándar.</w:t>
      </w:r>
    </w:p>
    <w:p w14:paraId="28668253" w14:textId="4AB0F64B" w:rsidR="00561AD6" w:rsidRPr="0086035E" w:rsidRDefault="00561AD6" w:rsidP="00766CA6">
      <w:pPr>
        <w:spacing w:after="0"/>
        <w:jc w:val="both"/>
        <w:rPr>
          <w:rFonts w:ascii="Verdana" w:hAnsi="Verdana"/>
          <w:sz w:val="20"/>
          <w:szCs w:val="20"/>
        </w:rPr>
      </w:pPr>
      <w:r w:rsidRPr="003F3D3E">
        <w:rPr>
          <w:rFonts w:ascii="Verdana" w:hAnsi="Verdana"/>
          <w:sz w:val="20"/>
          <w:szCs w:val="20"/>
        </w:rPr>
        <w:t>1</w:t>
      </w:r>
      <w:r w:rsidRPr="0086035E">
        <w:rPr>
          <w:rFonts w:ascii="Verdana" w:hAnsi="Verdana"/>
          <w:sz w:val="20"/>
          <w:szCs w:val="20"/>
        </w:rPr>
        <w:t>.1.</w:t>
      </w:r>
      <w:r>
        <w:rPr>
          <w:rFonts w:ascii="Verdana" w:hAnsi="Verdana"/>
          <w:sz w:val="20"/>
          <w:szCs w:val="20"/>
        </w:rPr>
        <w:t>2</w:t>
      </w:r>
      <w:r w:rsidRPr="0086035E">
        <w:rPr>
          <w:rFonts w:ascii="Verdana" w:hAnsi="Verdana"/>
          <w:sz w:val="20"/>
          <w:szCs w:val="20"/>
        </w:rPr>
        <w:t>.</w:t>
      </w:r>
      <w:r>
        <w:rPr>
          <w:rFonts w:ascii="Verdana" w:hAnsi="Verdana"/>
          <w:sz w:val="20"/>
          <w:szCs w:val="20"/>
        </w:rPr>
        <w:t>8</w:t>
      </w:r>
      <w:r w:rsidR="00452C66">
        <w:rPr>
          <w:rFonts w:ascii="Verdana" w:hAnsi="Verdana"/>
          <w:sz w:val="20"/>
          <w:szCs w:val="20"/>
        </w:rPr>
        <w:t>8</w:t>
      </w:r>
      <w:r w:rsidRPr="0086035E">
        <w:rPr>
          <w:rFonts w:ascii="Verdana" w:hAnsi="Verdana"/>
          <w:sz w:val="20"/>
          <w:szCs w:val="20"/>
        </w:rPr>
        <w:t>.</w:t>
      </w:r>
    </w:p>
    <w:p w14:paraId="29935D5E" w14:textId="19F75F20" w:rsidR="00561AD6" w:rsidRDefault="00DE0989" w:rsidP="00766CA6">
      <w:pPr>
        <w:jc w:val="both"/>
        <w:rPr>
          <w:rFonts w:ascii="Verdana" w:hAnsi="Verdana"/>
          <w:sz w:val="20"/>
          <w:szCs w:val="20"/>
        </w:rPr>
      </w:pPr>
      <w:r w:rsidRPr="00CC54C6">
        <w:rPr>
          <w:rFonts w:ascii="Verdana" w:hAnsi="Verdana"/>
          <w:sz w:val="20"/>
          <w:szCs w:val="20"/>
        </w:rPr>
        <w:t>Las SCBV respecto</w:t>
      </w:r>
      <w:r w:rsidRPr="00DE0989">
        <w:rPr>
          <w:rFonts w:ascii="Verdana" w:hAnsi="Verdana"/>
          <w:sz w:val="20"/>
          <w:szCs w:val="20"/>
        </w:rPr>
        <w:t xml:space="preserve"> de sus operaciones por cuenta propia</w:t>
      </w:r>
      <w:r w:rsidR="00877E5B">
        <w:rPr>
          <w:rFonts w:ascii="Verdana" w:hAnsi="Verdana"/>
          <w:sz w:val="20"/>
          <w:szCs w:val="20"/>
        </w:rPr>
        <w:t>:</w:t>
      </w:r>
    </w:p>
    <w:p w14:paraId="6C97FED2" w14:textId="77777777" w:rsidR="009563B1" w:rsidRDefault="009563B1" w:rsidP="00766CA6">
      <w:pPr>
        <w:pStyle w:val="Prrafodelista"/>
        <w:numPr>
          <w:ilvl w:val="0"/>
          <w:numId w:val="32"/>
        </w:numPr>
        <w:ind w:left="567" w:hanging="567"/>
        <w:jc w:val="both"/>
        <w:rPr>
          <w:rFonts w:ascii="Verdana" w:hAnsi="Verdana"/>
          <w:sz w:val="20"/>
          <w:szCs w:val="20"/>
        </w:rPr>
      </w:pPr>
      <w:r w:rsidRPr="009563B1">
        <w:rPr>
          <w:rFonts w:ascii="Verdana" w:hAnsi="Verdana"/>
          <w:sz w:val="20"/>
          <w:szCs w:val="20"/>
        </w:rPr>
        <w:lastRenderedPageBreak/>
        <w:t>Pueden desarrollar e implementar modelos internos para la medición del riesgo de mercado inherente a estas operaciones.</w:t>
      </w:r>
    </w:p>
    <w:p w14:paraId="0BE8E815" w14:textId="77777777" w:rsidR="009563B1" w:rsidRDefault="009563B1" w:rsidP="00766CA6">
      <w:pPr>
        <w:pStyle w:val="Prrafodelista"/>
        <w:ind w:left="567"/>
        <w:jc w:val="both"/>
        <w:rPr>
          <w:rFonts w:ascii="Verdana" w:hAnsi="Verdana"/>
          <w:sz w:val="20"/>
          <w:szCs w:val="20"/>
        </w:rPr>
      </w:pPr>
    </w:p>
    <w:p w14:paraId="27EBE44D" w14:textId="09526BBA" w:rsidR="009563B1" w:rsidRDefault="009563B1" w:rsidP="00766CA6">
      <w:pPr>
        <w:pStyle w:val="Prrafodelista"/>
        <w:numPr>
          <w:ilvl w:val="0"/>
          <w:numId w:val="32"/>
        </w:numPr>
        <w:ind w:left="567" w:hanging="567"/>
        <w:jc w:val="both"/>
        <w:rPr>
          <w:rFonts w:ascii="Verdana" w:hAnsi="Verdana"/>
          <w:sz w:val="20"/>
          <w:szCs w:val="20"/>
        </w:rPr>
      </w:pPr>
      <w:r w:rsidRPr="009563B1">
        <w:rPr>
          <w:rFonts w:ascii="Verdana" w:hAnsi="Verdana"/>
          <w:sz w:val="20"/>
          <w:szCs w:val="20"/>
        </w:rPr>
        <w:t xml:space="preserve">Los modelos internos mencionados pueden presentarse ante la SFC con el fin de obtener un pronunciamiento de no objeción, de acuerdo con las instrucciones establecidas en </w:t>
      </w:r>
      <w:r w:rsidR="00395E31">
        <w:rPr>
          <w:rFonts w:ascii="Verdana" w:hAnsi="Verdana"/>
          <w:sz w:val="20"/>
          <w:szCs w:val="20"/>
        </w:rPr>
        <w:t xml:space="preserve">la </w:t>
      </w:r>
      <w:r w:rsidR="00395E31" w:rsidRPr="00837CCB">
        <w:rPr>
          <w:rFonts w:ascii="Verdana" w:hAnsi="Verdana"/>
          <w:sz w:val="20"/>
          <w:szCs w:val="20"/>
        </w:rPr>
        <w:t xml:space="preserve">sección 3 del presente </w:t>
      </w:r>
      <w:r w:rsidR="00395E31">
        <w:rPr>
          <w:rFonts w:ascii="Verdana" w:hAnsi="Verdana"/>
          <w:sz w:val="20"/>
          <w:szCs w:val="20"/>
        </w:rPr>
        <w:t>c</w:t>
      </w:r>
      <w:r w:rsidR="00395E31" w:rsidRPr="00837CCB">
        <w:rPr>
          <w:rFonts w:ascii="Verdana" w:hAnsi="Verdana"/>
          <w:sz w:val="20"/>
          <w:szCs w:val="20"/>
        </w:rPr>
        <w:t>apítulo</w:t>
      </w:r>
      <w:r w:rsidR="00395E31">
        <w:rPr>
          <w:rFonts w:ascii="Verdana" w:hAnsi="Verdana"/>
          <w:sz w:val="20"/>
          <w:szCs w:val="20"/>
        </w:rPr>
        <w:t xml:space="preserve"> en relación con la medición del riesgo de mercado</w:t>
      </w:r>
      <w:r w:rsidRPr="009563B1">
        <w:rPr>
          <w:rFonts w:ascii="Verdana" w:hAnsi="Verdana"/>
          <w:sz w:val="20"/>
          <w:szCs w:val="20"/>
        </w:rPr>
        <w:t>.</w:t>
      </w:r>
    </w:p>
    <w:p w14:paraId="1FA22887" w14:textId="77777777" w:rsidR="009563B1" w:rsidRPr="009563B1" w:rsidRDefault="009563B1" w:rsidP="00766CA6">
      <w:pPr>
        <w:pStyle w:val="Prrafodelista"/>
        <w:jc w:val="both"/>
        <w:rPr>
          <w:rFonts w:ascii="Verdana" w:hAnsi="Verdana"/>
          <w:sz w:val="20"/>
          <w:szCs w:val="20"/>
        </w:rPr>
      </w:pPr>
    </w:p>
    <w:p w14:paraId="5C9A5081" w14:textId="202AE64D" w:rsidR="009563B1" w:rsidRDefault="009563B1" w:rsidP="00766CA6">
      <w:pPr>
        <w:pStyle w:val="Prrafodelista"/>
        <w:numPr>
          <w:ilvl w:val="0"/>
          <w:numId w:val="32"/>
        </w:numPr>
        <w:ind w:left="567" w:hanging="567"/>
        <w:jc w:val="both"/>
        <w:rPr>
          <w:rFonts w:ascii="Verdana" w:hAnsi="Verdana"/>
          <w:sz w:val="20"/>
          <w:szCs w:val="20"/>
        </w:rPr>
      </w:pPr>
      <w:r w:rsidRPr="009563B1">
        <w:rPr>
          <w:rFonts w:ascii="Verdana" w:hAnsi="Verdana"/>
          <w:sz w:val="20"/>
          <w:szCs w:val="20"/>
        </w:rPr>
        <w:t xml:space="preserve">Para efectos del reporte a la SFC, las entidades que no presenten los modelos internos mencionados ante la SFC para el pronunciamiento de no objeción, o cuyos modelos hayan sido objetados, deben implementar el modelo estándar de medición del riesgo de mercado, reportar el resultado de la medición y dar cumplimiento a las medidas, de acuerdo </w:t>
      </w:r>
      <w:r w:rsidR="0095621D" w:rsidRPr="00DA1825">
        <w:rPr>
          <w:rFonts w:ascii="Verdana" w:hAnsi="Verdana"/>
          <w:sz w:val="20"/>
          <w:szCs w:val="20"/>
        </w:rPr>
        <w:t xml:space="preserve">con las instrucciones </w:t>
      </w:r>
      <w:r w:rsidR="0095621D">
        <w:rPr>
          <w:rFonts w:ascii="Verdana" w:hAnsi="Verdana"/>
          <w:sz w:val="20"/>
          <w:szCs w:val="20"/>
        </w:rPr>
        <w:t xml:space="preserve">relacionadas con la administración del riesgo de mercado </w:t>
      </w:r>
      <w:r w:rsidR="0095621D" w:rsidRPr="00DA1825">
        <w:rPr>
          <w:rFonts w:ascii="Verdana" w:hAnsi="Verdana"/>
          <w:sz w:val="20"/>
          <w:szCs w:val="20"/>
        </w:rPr>
        <w:t xml:space="preserve">señaladas en </w:t>
      </w:r>
      <w:r w:rsidR="0095621D">
        <w:rPr>
          <w:rFonts w:ascii="Verdana" w:hAnsi="Verdana"/>
          <w:sz w:val="20"/>
          <w:szCs w:val="20"/>
        </w:rPr>
        <w:t>las secciones 2 y 3 del presente c</w:t>
      </w:r>
      <w:r w:rsidR="0095621D" w:rsidRPr="00DA1825">
        <w:rPr>
          <w:rFonts w:ascii="Verdana" w:hAnsi="Verdana"/>
          <w:sz w:val="20"/>
          <w:szCs w:val="20"/>
        </w:rPr>
        <w:t>apítulo</w:t>
      </w:r>
      <w:r w:rsidRPr="009563B1">
        <w:rPr>
          <w:rFonts w:ascii="Verdana" w:hAnsi="Verdana"/>
          <w:sz w:val="20"/>
          <w:szCs w:val="20"/>
        </w:rPr>
        <w:t>.</w:t>
      </w:r>
    </w:p>
    <w:p w14:paraId="270F45BF" w14:textId="77777777" w:rsidR="009563B1" w:rsidRPr="009563B1" w:rsidRDefault="009563B1" w:rsidP="00766CA6">
      <w:pPr>
        <w:pStyle w:val="Prrafodelista"/>
        <w:jc w:val="both"/>
        <w:rPr>
          <w:rFonts w:ascii="Verdana" w:hAnsi="Verdana"/>
          <w:sz w:val="20"/>
          <w:szCs w:val="20"/>
        </w:rPr>
      </w:pPr>
    </w:p>
    <w:p w14:paraId="0E9AA085" w14:textId="1C973B03" w:rsidR="009563B1" w:rsidRPr="009563B1" w:rsidRDefault="009563B1" w:rsidP="00766CA6">
      <w:pPr>
        <w:pStyle w:val="Prrafodelista"/>
        <w:numPr>
          <w:ilvl w:val="0"/>
          <w:numId w:val="32"/>
        </w:numPr>
        <w:ind w:left="567" w:hanging="567"/>
        <w:jc w:val="both"/>
        <w:rPr>
          <w:rFonts w:ascii="Verdana" w:hAnsi="Verdana"/>
          <w:sz w:val="20"/>
          <w:szCs w:val="20"/>
        </w:rPr>
      </w:pPr>
      <w:r w:rsidRPr="009563B1">
        <w:rPr>
          <w:rFonts w:ascii="Verdana" w:hAnsi="Verdana"/>
          <w:sz w:val="20"/>
          <w:szCs w:val="20"/>
        </w:rPr>
        <w:t>Sin perjuicio de lo anterior las entidades a que se refiere e</w:t>
      </w:r>
      <w:r w:rsidR="00987AED">
        <w:rPr>
          <w:rFonts w:ascii="Verdana" w:hAnsi="Verdana"/>
          <w:sz w:val="20"/>
          <w:szCs w:val="20"/>
        </w:rPr>
        <w:t>l presente párrafo</w:t>
      </w:r>
      <w:r w:rsidRPr="009563B1">
        <w:rPr>
          <w:rFonts w:ascii="Verdana" w:hAnsi="Verdana"/>
          <w:sz w:val="20"/>
          <w:szCs w:val="20"/>
        </w:rPr>
        <w:t xml:space="preserve"> deben estar en capacidad de reportar el valor que resultaría de calcular la exposición a riesgos de mercado utilizando el modelo estándar.</w:t>
      </w:r>
    </w:p>
    <w:p w14:paraId="773E291C" w14:textId="5CF185D5" w:rsidR="00561AD6" w:rsidRPr="0086035E" w:rsidRDefault="00561AD6" w:rsidP="00766CA6">
      <w:pPr>
        <w:spacing w:after="0"/>
        <w:jc w:val="both"/>
        <w:rPr>
          <w:rFonts w:ascii="Verdana" w:hAnsi="Verdana"/>
          <w:sz w:val="20"/>
          <w:szCs w:val="20"/>
        </w:rPr>
      </w:pPr>
      <w:r w:rsidRPr="003F3D3E">
        <w:rPr>
          <w:rFonts w:ascii="Verdana" w:hAnsi="Verdana"/>
          <w:sz w:val="20"/>
          <w:szCs w:val="20"/>
        </w:rPr>
        <w:t>1</w:t>
      </w:r>
      <w:r w:rsidRPr="0086035E">
        <w:rPr>
          <w:rFonts w:ascii="Verdana" w:hAnsi="Verdana"/>
          <w:sz w:val="20"/>
          <w:szCs w:val="20"/>
        </w:rPr>
        <w:t>.1.</w:t>
      </w:r>
      <w:r>
        <w:rPr>
          <w:rFonts w:ascii="Verdana" w:hAnsi="Verdana"/>
          <w:sz w:val="20"/>
          <w:szCs w:val="20"/>
        </w:rPr>
        <w:t>2</w:t>
      </w:r>
      <w:r w:rsidRPr="0086035E">
        <w:rPr>
          <w:rFonts w:ascii="Verdana" w:hAnsi="Verdana"/>
          <w:sz w:val="20"/>
          <w:szCs w:val="20"/>
        </w:rPr>
        <w:t>.</w:t>
      </w:r>
      <w:r>
        <w:rPr>
          <w:rFonts w:ascii="Verdana" w:hAnsi="Verdana"/>
          <w:sz w:val="20"/>
          <w:szCs w:val="20"/>
        </w:rPr>
        <w:t>8</w:t>
      </w:r>
      <w:r w:rsidR="00452C66">
        <w:rPr>
          <w:rFonts w:ascii="Verdana" w:hAnsi="Verdana"/>
          <w:sz w:val="20"/>
          <w:szCs w:val="20"/>
        </w:rPr>
        <w:t>9</w:t>
      </w:r>
      <w:r w:rsidRPr="0086035E">
        <w:rPr>
          <w:rFonts w:ascii="Verdana" w:hAnsi="Verdana"/>
          <w:sz w:val="20"/>
          <w:szCs w:val="20"/>
        </w:rPr>
        <w:t>.</w:t>
      </w:r>
    </w:p>
    <w:p w14:paraId="58E73B63" w14:textId="420916C8" w:rsidR="00C56A6E" w:rsidRDefault="00B11605" w:rsidP="00766CA6">
      <w:pPr>
        <w:jc w:val="both"/>
        <w:rPr>
          <w:rFonts w:ascii="Verdana" w:hAnsi="Verdana"/>
          <w:sz w:val="20"/>
          <w:szCs w:val="20"/>
        </w:rPr>
      </w:pPr>
      <w:r w:rsidRPr="00CC54C6">
        <w:rPr>
          <w:rFonts w:ascii="Verdana" w:hAnsi="Verdana"/>
          <w:sz w:val="20"/>
          <w:szCs w:val="20"/>
        </w:rPr>
        <w:t>Las entidades de seguros</w:t>
      </w:r>
      <w:r w:rsidRPr="00B11605">
        <w:rPr>
          <w:rFonts w:ascii="Verdana" w:hAnsi="Verdana"/>
          <w:sz w:val="20"/>
          <w:szCs w:val="20"/>
        </w:rPr>
        <w:t xml:space="preserve"> generales en lo correspondiente a los activos que respaldan las reservas técnicas</w:t>
      </w:r>
      <w:r w:rsidR="00877E5B">
        <w:rPr>
          <w:rFonts w:ascii="Verdana" w:hAnsi="Verdana"/>
          <w:sz w:val="20"/>
          <w:szCs w:val="20"/>
        </w:rPr>
        <w:t>:</w:t>
      </w:r>
    </w:p>
    <w:p w14:paraId="1F86BB65" w14:textId="77777777" w:rsidR="008778FB" w:rsidRDefault="008778FB" w:rsidP="00766CA6">
      <w:pPr>
        <w:pStyle w:val="Prrafodelista"/>
        <w:numPr>
          <w:ilvl w:val="0"/>
          <w:numId w:val="33"/>
        </w:numPr>
        <w:ind w:left="567" w:hanging="567"/>
        <w:jc w:val="both"/>
        <w:rPr>
          <w:rFonts w:ascii="Verdana" w:hAnsi="Verdana"/>
          <w:sz w:val="20"/>
          <w:szCs w:val="20"/>
        </w:rPr>
      </w:pPr>
      <w:r w:rsidRPr="008778FB">
        <w:rPr>
          <w:rFonts w:ascii="Verdana" w:hAnsi="Verdana"/>
          <w:sz w:val="20"/>
          <w:szCs w:val="20"/>
        </w:rPr>
        <w:t>Pueden desarrollar e implementar modelos internos para la medición del riesgo de mercado inherente a estos activos.</w:t>
      </w:r>
    </w:p>
    <w:p w14:paraId="577D89BE" w14:textId="77777777" w:rsidR="008778FB" w:rsidRDefault="008778FB" w:rsidP="00766CA6">
      <w:pPr>
        <w:pStyle w:val="Prrafodelista"/>
        <w:ind w:left="567"/>
        <w:jc w:val="both"/>
        <w:rPr>
          <w:rFonts w:ascii="Verdana" w:hAnsi="Verdana"/>
          <w:sz w:val="20"/>
          <w:szCs w:val="20"/>
        </w:rPr>
      </w:pPr>
    </w:p>
    <w:p w14:paraId="7B3095FE" w14:textId="7F897A0F" w:rsidR="008778FB" w:rsidRDefault="008778FB" w:rsidP="00766CA6">
      <w:pPr>
        <w:pStyle w:val="Prrafodelista"/>
        <w:numPr>
          <w:ilvl w:val="0"/>
          <w:numId w:val="33"/>
        </w:numPr>
        <w:ind w:left="567" w:hanging="567"/>
        <w:jc w:val="both"/>
        <w:rPr>
          <w:rFonts w:ascii="Verdana" w:hAnsi="Verdana"/>
          <w:sz w:val="20"/>
          <w:szCs w:val="20"/>
        </w:rPr>
      </w:pPr>
      <w:r w:rsidRPr="008778FB">
        <w:rPr>
          <w:rFonts w:ascii="Verdana" w:hAnsi="Verdana"/>
          <w:sz w:val="20"/>
          <w:szCs w:val="20"/>
        </w:rPr>
        <w:t xml:space="preserve">Los modelos internos mencionados pueden presentarse ante la SFC con el fin de obtener un pronunciamiento de no objeción, de acuerdo con las instrucciones establecidas en </w:t>
      </w:r>
      <w:r w:rsidR="00395E31">
        <w:rPr>
          <w:rFonts w:ascii="Verdana" w:hAnsi="Verdana"/>
          <w:sz w:val="20"/>
          <w:szCs w:val="20"/>
        </w:rPr>
        <w:t xml:space="preserve">la </w:t>
      </w:r>
      <w:r w:rsidR="00395E31" w:rsidRPr="00837CCB">
        <w:rPr>
          <w:rFonts w:ascii="Verdana" w:hAnsi="Verdana"/>
          <w:sz w:val="20"/>
          <w:szCs w:val="20"/>
        </w:rPr>
        <w:t xml:space="preserve">sección 3 del presente </w:t>
      </w:r>
      <w:r w:rsidR="00395E31">
        <w:rPr>
          <w:rFonts w:ascii="Verdana" w:hAnsi="Verdana"/>
          <w:sz w:val="20"/>
          <w:szCs w:val="20"/>
        </w:rPr>
        <w:t>c</w:t>
      </w:r>
      <w:r w:rsidR="00395E31" w:rsidRPr="00837CCB">
        <w:rPr>
          <w:rFonts w:ascii="Verdana" w:hAnsi="Verdana"/>
          <w:sz w:val="20"/>
          <w:szCs w:val="20"/>
        </w:rPr>
        <w:t>apítulo</w:t>
      </w:r>
      <w:r w:rsidR="00395E31">
        <w:rPr>
          <w:rFonts w:ascii="Verdana" w:hAnsi="Verdana"/>
          <w:sz w:val="20"/>
          <w:szCs w:val="20"/>
        </w:rPr>
        <w:t xml:space="preserve"> en relación con la medición del riesgo de mercado</w:t>
      </w:r>
      <w:r w:rsidRPr="008778FB">
        <w:rPr>
          <w:rFonts w:ascii="Verdana" w:hAnsi="Verdana"/>
          <w:sz w:val="20"/>
          <w:szCs w:val="20"/>
        </w:rPr>
        <w:t>.</w:t>
      </w:r>
    </w:p>
    <w:p w14:paraId="11F72D22" w14:textId="77777777" w:rsidR="008778FB" w:rsidRPr="008778FB" w:rsidRDefault="008778FB" w:rsidP="00766CA6">
      <w:pPr>
        <w:pStyle w:val="Prrafodelista"/>
        <w:jc w:val="both"/>
        <w:rPr>
          <w:rFonts w:ascii="Verdana" w:hAnsi="Verdana"/>
          <w:sz w:val="20"/>
          <w:szCs w:val="20"/>
        </w:rPr>
      </w:pPr>
    </w:p>
    <w:p w14:paraId="4EC2482A" w14:textId="0A89CC98" w:rsidR="008778FB" w:rsidRDefault="008778FB" w:rsidP="00766CA6">
      <w:pPr>
        <w:pStyle w:val="Prrafodelista"/>
        <w:numPr>
          <w:ilvl w:val="0"/>
          <w:numId w:val="33"/>
        </w:numPr>
        <w:ind w:left="567" w:hanging="567"/>
        <w:jc w:val="both"/>
        <w:rPr>
          <w:rFonts w:ascii="Verdana" w:hAnsi="Verdana"/>
          <w:sz w:val="20"/>
          <w:szCs w:val="20"/>
        </w:rPr>
      </w:pPr>
      <w:r w:rsidRPr="008778FB">
        <w:rPr>
          <w:rFonts w:ascii="Verdana" w:hAnsi="Verdana"/>
          <w:sz w:val="20"/>
          <w:szCs w:val="20"/>
        </w:rPr>
        <w:t xml:space="preserve">Para efectos del reporte a la SFC, las entidades que no presenten los modelos internos mencionados ante la SFC para el pronunciamiento de no objeción, o cuyos modelos hayan sido objetados, deben implementar el modelo estándar de medición del riesgo de mercado, reportar el resultado de la medición y dar cumplimiento a los límites y medidas, de acuerdo </w:t>
      </w:r>
      <w:r w:rsidR="005A61A0" w:rsidRPr="00DA1825">
        <w:rPr>
          <w:rFonts w:ascii="Verdana" w:hAnsi="Verdana"/>
          <w:sz w:val="20"/>
          <w:szCs w:val="20"/>
        </w:rPr>
        <w:t xml:space="preserve">con las instrucciones </w:t>
      </w:r>
      <w:r w:rsidR="005A61A0">
        <w:rPr>
          <w:rFonts w:ascii="Verdana" w:hAnsi="Verdana"/>
          <w:sz w:val="20"/>
          <w:szCs w:val="20"/>
        </w:rPr>
        <w:t xml:space="preserve">relacionadas con la administración del riesgo de mercado </w:t>
      </w:r>
      <w:r w:rsidR="005A61A0" w:rsidRPr="00DA1825">
        <w:rPr>
          <w:rFonts w:ascii="Verdana" w:hAnsi="Verdana"/>
          <w:sz w:val="20"/>
          <w:szCs w:val="20"/>
        </w:rPr>
        <w:t xml:space="preserve">señaladas en </w:t>
      </w:r>
      <w:r w:rsidR="005A61A0">
        <w:rPr>
          <w:rFonts w:ascii="Verdana" w:hAnsi="Verdana"/>
          <w:sz w:val="20"/>
          <w:szCs w:val="20"/>
        </w:rPr>
        <w:t>las secciones 2 y 3 del presente c</w:t>
      </w:r>
      <w:r w:rsidR="005A61A0" w:rsidRPr="00DA1825">
        <w:rPr>
          <w:rFonts w:ascii="Verdana" w:hAnsi="Verdana"/>
          <w:sz w:val="20"/>
          <w:szCs w:val="20"/>
        </w:rPr>
        <w:t>apítulo</w:t>
      </w:r>
      <w:r w:rsidRPr="008778FB">
        <w:rPr>
          <w:rFonts w:ascii="Verdana" w:hAnsi="Verdana"/>
          <w:sz w:val="20"/>
          <w:szCs w:val="20"/>
        </w:rPr>
        <w:t>.</w:t>
      </w:r>
    </w:p>
    <w:p w14:paraId="0E574E39" w14:textId="77777777" w:rsidR="008778FB" w:rsidRPr="008778FB" w:rsidRDefault="008778FB" w:rsidP="00766CA6">
      <w:pPr>
        <w:pStyle w:val="Prrafodelista"/>
        <w:jc w:val="both"/>
        <w:rPr>
          <w:rFonts w:ascii="Verdana" w:hAnsi="Verdana"/>
          <w:sz w:val="20"/>
          <w:szCs w:val="20"/>
        </w:rPr>
      </w:pPr>
    </w:p>
    <w:p w14:paraId="13CF432D" w14:textId="5F0610CD" w:rsidR="008778FB" w:rsidRPr="008778FB" w:rsidRDefault="008778FB" w:rsidP="00766CA6">
      <w:pPr>
        <w:pStyle w:val="Prrafodelista"/>
        <w:numPr>
          <w:ilvl w:val="0"/>
          <w:numId w:val="33"/>
        </w:numPr>
        <w:ind w:left="567" w:hanging="567"/>
        <w:jc w:val="both"/>
        <w:rPr>
          <w:rFonts w:ascii="Verdana" w:hAnsi="Verdana"/>
          <w:sz w:val="20"/>
          <w:szCs w:val="20"/>
        </w:rPr>
      </w:pPr>
      <w:r w:rsidRPr="008778FB">
        <w:rPr>
          <w:rFonts w:ascii="Verdana" w:hAnsi="Verdana"/>
          <w:sz w:val="20"/>
          <w:szCs w:val="20"/>
        </w:rPr>
        <w:t xml:space="preserve">Sin perjuicio de lo anterior, las entidades a que se refiere este </w:t>
      </w:r>
      <w:r w:rsidR="00DB4CE3">
        <w:rPr>
          <w:rFonts w:ascii="Verdana" w:hAnsi="Verdana"/>
          <w:sz w:val="20"/>
          <w:szCs w:val="20"/>
        </w:rPr>
        <w:t>párrafo</w:t>
      </w:r>
      <w:r w:rsidRPr="008778FB">
        <w:rPr>
          <w:rFonts w:ascii="Verdana" w:hAnsi="Verdana"/>
          <w:sz w:val="20"/>
          <w:szCs w:val="20"/>
        </w:rPr>
        <w:t xml:space="preserve"> deben estar en capacidad de reportar el valor que resultaría de calcular la exposición a riesgos de mercado utilizando el modelo estándar.</w:t>
      </w:r>
    </w:p>
    <w:p w14:paraId="12B4F8D5" w14:textId="09F7634E" w:rsidR="00B11605" w:rsidRPr="0086035E" w:rsidRDefault="00C56A6E" w:rsidP="00766CA6">
      <w:pPr>
        <w:spacing w:after="0"/>
        <w:jc w:val="both"/>
        <w:rPr>
          <w:rFonts w:ascii="Verdana" w:hAnsi="Verdana"/>
          <w:sz w:val="20"/>
          <w:szCs w:val="20"/>
        </w:rPr>
      </w:pPr>
      <w:r w:rsidRPr="003F3D3E">
        <w:rPr>
          <w:rFonts w:ascii="Verdana" w:hAnsi="Verdana"/>
          <w:sz w:val="20"/>
          <w:szCs w:val="20"/>
        </w:rPr>
        <w:t>1</w:t>
      </w:r>
      <w:r w:rsidR="00B11605" w:rsidRPr="0086035E">
        <w:rPr>
          <w:rFonts w:ascii="Verdana" w:hAnsi="Verdana"/>
          <w:sz w:val="20"/>
          <w:szCs w:val="20"/>
        </w:rPr>
        <w:t>.1.</w:t>
      </w:r>
      <w:r w:rsidR="00B11605">
        <w:rPr>
          <w:rFonts w:ascii="Verdana" w:hAnsi="Verdana"/>
          <w:sz w:val="20"/>
          <w:szCs w:val="20"/>
        </w:rPr>
        <w:t>2</w:t>
      </w:r>
      <w:r>
        <w:rPr>
          <w:rFonts w:ascii="Verdana" w:hAnsi="Verdana"/>
          <w:sz w:val="20"/>
          <w:szCs w:val="20"/>
        </w:rPr>
        <w:t>.90</w:t>
      </w:r>
      <w:r w:rsidR="00B11605" w:rsidRPr="0086035E">
        <w:rPr>
          <w:rFonts w:ascii="Verdana" w:hAnsi="Verdana"/>
          <w:sz w:val="20"/>
          <w:szCs w:val="20"/>
        </w:rPr>
        <w:t>.</w:t>
      </w:r>
    </w:p>
    <w:p w14:paraId="43BABD26" w14:textId="4CC48F1C" w:rsidR="00B11605" w:rsidRDefault="00B11605" w:rsidP="00766CA6">
      <w:pPr>
        <w:jc w:val="both"/>
        <w:rPr>
          <w:rFonts w:ascii="Verdana" w:hAnsi="Verdana"/>
          <w:sz w:val="20"/>
          <w:szCs w:val="20"/>
        </w:rPr>
      </w:pPr>
      <w:r w:rsidRPr="00CC54C6">
        <w:rPr>
          <w:rFonts w:ascii="Verdana" w:hAnsi="Verdana"/>
          <w:sz w:val="20"/>
          <w:szCs w:val="20"/>
        </w:rPr>
        <w:t xml:space="preserve">Las SCBV </w:t>
      </w:r>
      <w:r w:rsidR="00877E5B" w:rsidRPr="00CC54C6">
        <w:rPr>
          <w:rFonts w:ascii="Verdana" w:hAnsi="Verdana"/>
          <w:sz w:val="20"/>
          <w:szCs w:val="20"/>
        </w:rPr>
        <w:t>respecto de los FIC</w:t>
      </w:r>
      <w:r w:rsidR="00877E5B" w:rsidRPr="00877E5B">
        <w:rPr>
          <w:rFonts w:ascii="Verdana" w:hAnsi="Verdana"/>
          <w:sz w:val="20"/>
          <w:szCs w:val="20"/>
        </w:rPr>
        <w:t xml:space="preserve"> y/o fondos que administran</w:t>
      </w:r>
      <w:r w:rsidR="00877E5B">
        <w:rPr>
          <w:rFonts w:ascii="Verdana" w:hAnsi="Verdana"/>
          <w:sz w:val="20"/>
          <w:szCs w:val="20"/>
        </w:rPr>
        <w:t>:</w:t>
      </w:r>
    </w:p>
    <w:p w14:paraId="7C58B6B2" w14:textId="00EF280A" w:rsidR="001C0549" w:rsidRPr="001C0549" w:rsidRDefault="001C0549" w:rsidP="00766CA6">
      <w:pPr>
        <w:pStyle w:val="Prrafodelista"/>
        <w:numPr>
          <w:ilvl w:val="0"/>
          <w:numId w:val="34"/>
        </w:numPr>
        <w:ind w:left="567" w:hanging="567"/>
        <w:jc w:val="both"/>
        <w:rPr>
          <w:rFonts w:ascii="Verdana" w:hAnsi="Verdana"/>
          <w:sz w:val="20"/>
          <w:szCs w:val="20"/>
        </w:rPr>
      </w:pPr>
      <w:r w:rsidRPr="001C0549">
        <w:rPr>
          <w:rFonts w:ascii="Verdana" w:hAnsi="Verdana"/>
          <w:sz w:val="20"/>
          <w:szCs w:val="20"/>
        </w:rPr>
        <w:t xml:space="preserve">Deben implementar el modelo estándar de medición del riesgo de mercado que se derive de sus posiciones en el libro de tesorería y de sus operaciones de contado, reportar el resultado de la medición y dar cumplimiento a los límites y medidas, de acuerdo con las instrucciones señaladas en </w:t>
      </w:r>
      <w:r w:rsidR="005356FF">
        <w:rPr>
          <w:rFonts w:ascii="Verdana" w:hAnsi="Verdana"/>
          <w:sz w:val="20"/>
          <w:szCs w:val="20"/>
        </w:rPr>
        <w:t xml:space="preserve">la </w:t>
      </w:r>
      <w:r w:rsidR="005356FF" w:rsidRPr="00837CCB">
        <w:rPr>
          <w:rFonts w:ascii="Verdana" w:hAnsi="Verdana"/>
          <w:sz w:val="20"/>
          <w:szCs w:val="20"/>
        </w:rPr>
        <w:t xml:space="preserve">sección 3 del presente </w:t>
      </w:r>
      <w:r w:rsidR="005356FF">
        <w:rPr>
          <w:rFonts w:ascii="Verdana" w:hAnsi="Verdana"/>
          <w:sz w:val="20"/>
          <w:szCs w:val="20"/>
        </w:rPr>
        <w:t>c</w:t>
      </w:r>
      <w:r w:rsidR="005356FF" w:rsidRPr="00837CCB">
        <w:rPr>
          <w:rFonts w:ascii="Verdana" w:hAnsi="Verdana"/>
          <w:sz w:val="20"/>
          <w:szCs w:val="20"/>
        </w:rPr>
        <w:t>apítulo</w:t>
      </w:r>
      <w:r w:rsidR="005356FF">
        <w:rPr>
          <w:rFonts w:ascii="Verdana" w:hAnsi="Verdana"/>
          <w:sz w:val="20"/>
          <w:szCs w:val="20"/>
        </w:rPr>
        <w:t xml:space="preserve"> en relación con la medición del riesgo de mercado</w:t>
      </w:r>
      <w:r w:rsidRPr="001C0549">
        <w:rPr>
          <w:rFonts w:ascii="Verdana" w:hAnsi="Verdana"/>
          <w:sz w:val="20"/>
          <w:szCs w:val="20"/>
        </w:rPr>
        <w:t>.</w:t>
      </w:r>
    </w:p>
    <w:p w14:paraId="5F2D6C9E" w14:textId="61F26E54" w:rsidR="00B207AA" w:rsidRPr="0086035E" w:rsidRDefault="00B207AA" w:rsidP="00766CA6">
      <w:pPr>
        <w:spacing w:after="0"/>
        <w:jc w:val="both"/>
        <w:rPr>
          <w:rFonts w:ascii="Verdana" w:hAnsi="Verdana"/>
          <w:sz w:val="20"/>
          <w:szCs w:val="20"/>
        </w:rPr>
      </w:pPr>
      <w:r w:rsidRPr="003F3D3E">
        <w:rPr>
          <w:rFonts w:ascii="Verdana" w:hAnsi="Verdana"/>
          <w:sz w:val="20"/>
          <w:szCs w:val="20"/>
        </w:rPr>
        <w:t>1</w:t>
      </w:r>
      <w:r w:rsidRPr="0086035E">
        <w:rPr>
          <w:rFonts w:ascii="Verdana" w:hAnsi="Verdana"/>
          <w:sz w:val="20"/>
          <w:szCs w:val="20"/>
        </w:rPr>
        <w:t>.1.</w:t>
      </w:r>
      <w:r>
        <w:rPr>
          <w:rFonts w:ascii="Verdana" w:hAnsi="Verdana"/>
          <w:sz w:val="20"/>
          <w:szCs w:val="20"/>
        </w:rPr>
        <w:t>2.9</w:t>
      </w:r>
      <w:r w:rsidR="00504FB4">
        <w:rPr>
          <w:rFonts w:ascii="Verdana" w:hAnsi="Verdana"/>
          <w:sz w:val="20"/>
          <w:szCs w:val="20"/>
        </w:rPr>
        <w:t>1</w:t>
      </w:r>
      <w:r w:rsidRPr="0086035E">
        <w:rPr>
          <w:rFonts w:ascii="Verdana" w:hAnsi="Verdana"/>
          <w:sz w:val="20"/>
          <w:szCs w:val="20"/>
        </w:rPr>
        <w:t>.</w:t>
      </w:r>
    </w:p>
    <w:p w14:paraId="6CACCF60" w14:textId="6316682A" w:rsidR="00B207AA" w:rsidRDefault="006C3B1A" w:rsidP="00766CA6">
      <w:pPr>
        <w:jc w:val="both"/>
        <w:rPr>
          <w:rFonts w:ascii="Verdana" w:hAnsi="Verdana"/>
          <w:sz w:val="20"/>
          <w:szCs w:val="20"/>
        </w:rPr>
      </w:pPr>
      <w:r w:rsidRPr="00CC54C6">
        <w:rPr>
          <w:rFonts w:ascii="Verdana" w:hAnsi="Verdana"/>
          <w:sz w:val="20"/>
          <w:szCs w:val="20"/>
        </w:rPr>
        <w:t>Las SF, las sociedades administradoras</w:t>
      </w:r>
      <w:r w:rsidRPr="006C3B1A">
        <w:rPr>
          <w:rFonts w:ascii="Verdana" w:hAnsi="Verdana"/>
          <w:sz w:val="20"/>
          <w:szCs w:val="20"/>
        </w:rPr>
        <w:t xml:space="preserve"> de fondos de pensiones y de cesantía, las entidades administradoras del régimen solidario de prima media, las SAI, las EA y las sociedades de capitalización</w:t>
      </w:r>
      <w:r w:rsidR="00B207AA">
        <w:rPr>
          <w:rFonts w:ascii="Verdana" w:hAnsi="Verdana"/>
          <w:sz w:val="20"/>
          <w:szCs w:val="20"/>
        </w:rPr>
        <w:t>:</w:t>
      </w:r>
    </w:p>
    <w:p w14:paraId="65C94379" w14:textId="2D56A727" w:rsidR="009D42BF" w:rsidRDefault="009D42BF" w:rsidP="00766CA6">
      <w:pPr>
        <w:pStyle w:val="Prrafodelista"/>
        <w:numPr>
          <w:ilvl w:val="0"/>
          <w:numId w:val="35"/>
        </w:numPr>
        <w:ind w:left="567" w:hanging="567"/>
        <w:jc w:val="both"/>
        <w:rPr>
          <w:rFonts w:ascii="Verdana" w:hAnsi="Verdana"/>
          <w:sz w:val="20"/>
          <w:szCs w:val="20"/>
        </w:rPr>
      </w:pPr>
      <w:r w:rsidRPr="009D42BF">
        <w:rPr>
          <w:rFonts w:ascii="Verdana" w:hAnsi="Verdana"/>
          <w:sz w:val="20"/>
          <w:szCs w:val="20"/>
        </w:rPr>
        <w:t xml:space="preserve">Deben medir la exposición al riesgo de mercado que se derive de sus posiciones en el libro de tesorería y de sus operaciones de contado, así como de los diferentes FIC y demás fondos que administran. Para tal efecto deben implementar el modelo estándar de medición del riesgo de mercado, reportar el resultado de la medición y dar cumplimiento a los límites y medidas, de acuerdo con las instrucciones señaladas en </w:t>
      </w:r>
      <w:r w:rsidR="005356FF">
        <w:rPr>
          <w:rFonts w:ascii="Verdana" w:hAnsi="Verdana"/>
          <w:sz w:val="20"/>
          <w:szCs w:val="20"/>
        </w:rPr>
        <w:t xml:space="preserve">la </w:t>
      </w:r>
      <w:r w:rsidR="005356FF" w:rsidRPr="00837CCB">
        <w:rPr>
          <w:rFonts w:ascii="Verdana" w:hAnsi="Verdana"/>
          <w:sz w:val="20"/>
          <w:szCs w:val="20"/>
        </w:rPr>
        <w:t xml:space="preserve">sección 3 del presente </w:t>
      </w:r>
      <w:r w:rsidR="005356FF">
        <w:rPr>
          <w:rFonts w:ascii="Verdana" w:hAnsi="Verdana"/>
          <w:sz w:val="20"/>
          <w:szCs w:val="20"/>
        </w:rPr>
        <w:t>c</w:t>
      </w:r>
      <w:r w:rsidR="005356FF" w:rsidRPr="00837CCB">
        <w:rPr>
          <w:rFonts w:ascii="Verdana" w:hAnsi="Verdana"/>
          <w:sz w:val="20"/>
          <w:szCs w:val="20"/>
        </w:rPr>
        <w:t>apítulo</w:t>
      </w:r>
      <w:r w:rsidR="005356FF">
        <w:rPr>
          <w:rFonts w:ascii="Verdana" w:hAnsi="Verdana"/>
          <w:sz w:val="20"/>
          <w:szCs w:val="20"/>
        </w:rPr>
        <w:t xml:space="preserve"> en relación con la medición del riesgo de mercado</w:t>
      </w:r>
      <w:r w:rsidRPr="009D42BF">
        <w:rPr>
          <w:rFonts w:ascii="Verdana" w:hAnsi="Verdana"/>
          <w:sz w:val="20"/>
          <w:szCs w:val="20"/>
        </w:rPr>
        <w:t>.</w:t>
      </w:r>
    </w:p>
    <w:p w14:paraId="2CC97769" w14:textId="77777777" w:rsidR="00FB683F" w:rsidRDefault="00FB683F" w:rsidP="00FB683F">
      <w:pPr>
        <w:pStyle w:val="Prrafodelista"/>
        <w:ind w:left="567"/>
        <w:jc w:val="both"/>
        <w:rPr>
          <w:rFonts w:ascii="Verdana" w:hAnsi="Verdana"/>
          <w:sz w:val="20"/>
          <w:szCs w:val="20"/>
        </w:rPr>
      </w:pPr>
    </w:p>
    <w:p w14:paraId="4923955D" w14:textId="524F6C35" w:rsidR="009D42BF" w:rsidRPr="003D5DDB" w:rsidRDefault="009D42BF" w:rsidP="00766CA6">
      <w:pPr>
        <w:pStyle w:val="Prrafodelista"/>
        <w:numPr>
          <w:ilvl w:val="0"/>
          <w:numId w:val="35"/>
        </w:numPr>
        <w:ind w:left="567" w:hanging="567"/>
        <w:jc w:val="both"/>
        <w:rPr>
          <w:rFonts w:ascii="Verdana" w:hAnsi="Verdana"/>
          <w:sz w:val="20"/>
          <w:szCs w:val="20"/>
        </w:rPr>
      </w:pPr>
      <w:r w:rsidRPr="009D42BF">
        <w:rPr>
          <w:rFonts w:ascii="Verdana" w:hAnsi="Verdana"/>
          <w:sz w:val="20"/>
          <w:szCs w:val="20"/>
        </w:rPr>
        <w:t xml:space="preserve">Tratándose de fideicomisos administrados por sociedades fiduciarias que efectúan inversiones de manera exclusiva en los FIC de la misma sociedad administradora, </w:t>
      </w:r>
      <w:r w:rsidRPr="009D42BF">
        <w:rPr>
          <w:rFonts w:ascii="Verdana" w:hAnsi="Verdana"/>
          <w:sz w:val="20"/>
          <w:szCs w:val="20"/>
        </w:rPr>
        <w:lastRenderedPageBreak/>
        <w:t>dichas inversiones se encuentran exentas de implementar el modelo estándar. También se encuentran exentos de usar el modelo estándar los fondos respecto de los cuales el fideicomitente de manera expresa y por escrito indique su voluntad de aplicar un modelo de medición distinto o exima de dicha obligación a la entidad.</w:t>
      </w:r>
    </w:p>
    <w:p w14:paraId="428B78B9" w14:textId="2F135C65" w:rsidR="00B207AA" w:rsidRPr="0086035E" w:rsidRDefault="00B207AA" w:rsidP="00766CA6">
      <w:pPr>
        <w:spacing w:after="0"/>
        <w:jc w:val="both"/>
        <w:rPr>
          <w:rFonts w:ascii="Verdana" w:hAnsi="Verdana"/>
          <w:sz w:val="20"/>
          <w:szCs w:val="20"/>
        </w:rPr>
      </w:pPr>
      <w:r w:rsidRPr="003F3D3E">
        <w:rPr>
          <w:rFonts w:ascii="Verdana" w:hAnsi="Verdana"/>
          <w:sz w:val="20"/>
          <w:szCs w:val="20"/>
        </w:rPr>
        <w:t>1</w:t>
      </w:r>
      <w:r w:rsidRPr="0086035E">
        <w:rPr>
          <w:rFonts w:ascii="Verdana" w:hAnsi="Verdana"/>
          <w:sz w:val="20"/>
          <w:szCs w:val="20"/>
        </w:rPr>
        <w:t>.1.</w:t>
      </w:r>
      <w:r>
        <w:rPr>
          <w:rFonts w:ascii="Verdana" w:hAnsi="Verdana"/>
          <w:sz w:val="20"/>
          <w:szCs w:val="20"/>
        </w:rPr>
        <w:t>2.9</w:t>
      </w:r>
      <w:r w:rsidR="00504FB4">
        <w:rPr>
          <w:rFonts w:ascii="Verdana" w:hAnsi="Verdana"/>
          <w:sz w:val="20"/>
          <w:szCs w:val="20"/>
        </w:rPr>
        <w:t>2</w:t>
      </w:r>
      <w:r w:rsidRPr="0086035E">
        <w:rPr>
          <w:rFonts w:ascii="Verdana" w:hAnsi="Verdana"/>
          <w:sz w:val="20"/>
          <w:szCs w:val="20"/>
        </w:rPr>
        <w:t>.</w:t>
      </w:r>
    </w:p>
    <w:p w14:paraId="7BA32174" w14:textId="07494B3D" w:rsidR="00B207AA" w:rsidRDefault="00504FB4" w:rsidP="00766CA6">
      <w:pPr>
        <w:jc w:val="both"/>
        <w:rPr>
          <w:rFonts w:ascii="Verdana" w:hAnsi="Verdana"/>
          <w:sz w:val="20"/>
          <w:szCs w:val="20"/>
        </w:rPr>
      </w:pPr>
      <w:r w:rsidRPr="00CC54C6">
        <w:rPr>
          <w:rFonts w:ascii="Verdana" w:hAnsi="Verdana"/>
          <w:sz w:val="20"/>
          <w:szCs w:val="20"/>
        </w:rPr>
        <w:t>De igual manera, los siguientes fondos y/o fideicomisos</w:t>
      </w:r>
      <w:r w:rsidRPr="00504FB4">
        <w:rPr>
          <w:rFonts w:ascii="Verdana" w:hAnsi="Verdana"/>
          <w:sz w:val="20"/>
          <w:szCs w:val="20"/>
        </w:rPr>
        <w:t xml:space="preserve"> deben implementar el modelo estándar de medición del riesgo de mercado, reportar el resultado de la medición y dar cumplimiento a los límites y medidas, de acuerdo con las instrucciones señaladas en </w:t>
      </w:r>
      <w:r w:rsidR="007319EE">
        <w:rPr>
          <w:rFonts w:ascii="Verdana" w:hAnsi="Verdana"/>
          <w:sz w:val="20"/>
          <w:szCs w:val="20"/>
        </w:rPr>
        <w:t xml:space="preserve">la </w:t>
      </w:r>
      <w:r w:rsidR="007319EE" w:rsidRPr="00837CCB">
        <w:rPr>
          <w:rFonts w:ascii="Verdana" w:hAnsi="Verdana"/>
          <w:sz w:val="20"/>
          <w:szCs w:val="20"/>
        </w:rPr>
        <w:t xml:space="preserve">sección 3 del presente </w:t>
      </w:r>
      <w:r w:rsidR="007319EE">
        <w:rPr>
          <w:rFonts w:ascii="Verdana" w:hAnsi="Verdana"/>
          <w:sz w:val="20"/>
          <w:szCs w:val="20"/>
        </w:rPr>
        <w:t>c</w:t>
      </w:r>
      <w:r w:rsidR="007319EE" w:rsidRPr="00837CCB">
        <w:rPr>
          <w:rFonts w:ascii="Verdana" w:hAnsi="Verdana"/>
          <w:sz w:val="20"/>
          <w:szCs w:val="20"/>
        </w:rPr>
        <w:t>apítulo</w:t>
      </w:r>
      <w:r w:rsidR="007319EE">
        <w:rPr>
          <w:rFonts w:ascii="Verdana" w:hAnsi="Verdana"/>
          <w:sz w:val="20"/>
          <w:szCs w:val="20"/>
        </w:rPr>
        <w:t xml:space="preserve"> en relación con la medición del riesgo de mercado</w:t>
      </w:r>
      <w:r w:rsidRPr="00504FB4">
        <w:rPr>
          <w:rFonts w:ascii="Verdana" w:hAnsi="Verdana"/>
          <w:sz w:val="20"/>
          <w:szCs w:val="20"/>
        </w:rPr>
        <w:t>:</w:t>
      </w:r>
    </w:p>
    <w:p w14:paraId="6A2B47D0"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Fiducia pública (negocios en los que se administren directa o indirectamente recursos públicos).</w:t>
      </w:r>
    </w:p>
    <w:p w14:paraId="4C7FC29B" w14:textId="77777777" w:rsidR="009A5011" w:rsidRDefault="009A5011" w:rsidP="00766CA6">
      <w:pPr>
        <w:pStyle w:val="Prrafodelista"/>
        <w:ind w:left="567"/>
        <w:jc w:val="both"/>
        <w:rPr>
          <w:rFonts w:ascii="Verdana" w:hAnsi="Verdana"/>
          <w:sz w:val="20"/>
          <w:szCs w:val="20"/>
        </w:rPr>
      </w:pPr>
    </w:p>
    <w:p w14:paraId="0C045B63" w14:textId="1BA8F6EF"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 xml:space="preserve">Fondo Nacional de Pensiones de Entidades Territoriales </w:t>
      </w:r>
      <w:r>
        <w:rPr>
          <w:rFonts w:ascii="Verdana" w:hAnsi="Verdana"/>
          <w:sz w:val="20"/>
          <w:szCs w:val="20"/>
        </w:rPr>
        <w:t>(</w:t>
      </w:r>
      <w:r w:rsidRPr="009A5011">
        <w:rPr>
          <w:rFonts w:ascii="Verdana" w:hAnsi="Verdana"/>
          <w:sz w:val="20"/>
          <w:szCs w:val="20"/>
        </w:rPr>
        <w:t>FONPET</w:t>
      </w:r>
      <w:r>
        <w:rPr>
          <w:rFonts w:ascii="Verdana" w:hAnsi="Verdana"/>
          <w:sz w:val="20"/>
          <w:szCs w:val="20"/>
        </w:rPr>
        <w:t>)</w:t>
      </w:r>
      <w:r w:rsidRPr="009A5011">
        <w:rPr>
          <w:rFonts w:ascii="Verdana" w:hAnsi="Verdana"/>
          <w:sz w:val="20"/>
          <w:szCs w:val="20"/>
        </w:rPr>
        <w:t>.</w:t>
      </w:r>
    </w:p>
    <w:p w14:paraId="1E3299B8" w14:textId="77777777" w:rsidR="009A5011" w:rsidRPr="009A5011" w:rsidRDefault="009A5011" w:rsidP="00766CA6">
      <w:pPr>
        <w:pStyle w:val="Prrafodelista"/>
        <w:jc w:val="both"/>
        <w:rPr>
          <w:rFonts w:ascii="Verdana" w:hAnsi="Verdana"/>
          <w:sz w:val="20"/>
          <w:szCs w:val="20"/>
        </w:rPr>
      </w:pPr>
    </w:p>
    <w:p w14:paraId="554266E4"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 xml:space="preserve">Fondo de Pensiones Públicas del Nivel Nacional </w:t>
      </w:r>
      <w:r>
        <w:rPr>
          <w:rFonts w:ascii="Verdana" w:hAnsi="Verdana"/>
          <w:sz w:val="20"/>
          <w:szCs w:val="20"/>
        </w:rPr>
        <w:t>(</w:t>
      </w:r>
      <w:r w:rsidRPr="009A5011">
        <w:rPr>
          <w:rFonts w:ascii="Verdana" w:hAnsi="Verdana"/>
          <w:sz w:val="20"/>
          <w:szCs w:val="20"/>
        </w:rPr>
        <w:t>FOPEP</w:t>
      </w:r>
      <w:r>
        <w:rPr>
          <w:rFonts w:ascii="Verdana" w:hAnsi="Verdana"/>
          <w:sz w:val="20"/>
          <w:szCs w:val="20"/>
        </w:rPr>
        <w:t>)</w:t>
      </w:r>
      <w:r w:rsidRPr="009A5011">
        <w:rPr>
          <w:rFonts w:ascii="Verdana" w:hAnsi="Verdana"/>
          <w:sz w:val="20"/>
          <w:szCs w:val="20"/>
        </w:rPr>
        <w:t>.</w:t>
      </w:r>
    </w:p>
    <w:p w14:paraId="6F720986" w14:textId="77777777" w:rsidR="009A5011" w:rsidRPr="009A5011" w:rsidRDefault="009A5011" w:rsidP="00766CA6">
      <w:pPr>
        <w:pStyle w:val="Prrafodelista"/>
        <w:jc w:val="both"/>
        <w:rPr>
          <w:rFonts w:ascii="Verdana" w:hAnsi="Verdana"/>
          <w:sz w:val="20"/>
          <w:szCs w:val="20"/>
        </w:rPr>
      </w:pPr>
    </w:p>
    <w:p w14:paraId="25EAB878"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Fondos de Pensiones Territoriales.</w:t>
      </w:r>
    </w:p>
    <w:p w14:paraId="38B39C20" w14:textId="77777777" w:rsidR="009A5011" w:rsidRPr="009A5011" w:rsidRDefault="009A5011" w:rsidP="00766CA6">
      <w:pPr>
        <w:pStyle w:val="Prrafodelista"/>
        <w:jc w:val="both"/>
        <w:rPr>
          <w:rFonts w:ascii="Verdana" w:hAnsi="Verdana"/>
          <w:sz w:val="20"/>
          <w:szCs w:val="20"/>
        </w:rPr>
      </w:pPr>
    </w:p>
    <w:p w14:paraId="0B317F26"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Fondo Prestacional del Sector Salud en lo relacionado con pensiones.</w:t>
      </w:r>
    </w:p>
    <w:p w14:paraId="04E780CB" w14:textId="77777777" w:rsidR="009A5011" w:rsidRPr="009A5011" w:rsidRDefault="009A5011" w:rsidP="00766CA6">
      <w:pPr>
        <w:pStyle w:val="Prrafodelista"/>
        <w:jc w:val="both"/>
        <w:rPr>
          <w:rFonts w:ascii="Verdana" w:hAnsi="Verdana"/>
          <w:sz w:val="20"/>
          <w:szCs w:val="20"/>
        </w:rPr>
      </w:pPr>
    </w:p>
    <w:p w14:paraId="39B62FEF"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Patrimonios autónomos para la administración de pasivos pensionales y reactivación económica creados por la Ley 550 de 1999 y regidos por esta o demás normas que la sustituyan, modifiquen o subroguen.</w:t>
      </w:r>
    </w:p>
    <w:p w14:paraId="1D59C7DB" w14:textId="77777777" w:rsidR="009A5011" w:rsidRPr="009A5011" w:rsidRDefault="009A5011" w:rsidP="00766CA6">
      <w:pPr>
        <w:pStyle w:val="Prrafodelista"/>
        <w:jc w:val="both"/>
        <w:rPr>
          <w:rFonts w:ascii="Verdana" w:hAnsi="Verdana"/>
          <w:sz w:val="20"/>
          <w:szCs w:val="20"/>
        </w:rPr>
      </w:pPr>
    </w:p>
    <w:p w14:paraId="395E4C26"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Los recursos a que hace referencia el Decreto 810 de 1998, o demás normas que lo sustituyan y modifiquen.</w:t>
      </w:r>
    </w:p>
    <w:p w14:paraId="719C1775" w14:textId="77777777" w:rsidR="009A5011" w:rsidRPr="009A5011" w:rsidRDefault="009A5011" w:rsidP="00766CA6">
      <w:pPr>
        <w:pStyle w:val="Prrafodelista"/>
        <w:jc w:val="both"/>
        <w:rPr>
          <w:rFonts w:ascii="Verdana" w:hAnsi="Verdana"/>
          <w:sz w:val="20"/>
          <w:szCs w:val="20"/>
        </w:rPr>
      </w:pPr>
    </w:p>
    <w:p w14:paraId="50A08754"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 xml:space="preserve">Los recursos destinados a la garantía y pago de bonos pensionales y cuotas partes de bonos pensionales. </w:t>
      </w:r>
    </w:p>
    <w:p w14:paraId="397486F8" w14:textId="77777777" w:rsidR="009A5011" w:rsidRPr="009A5011" w:rsidRDefault="009A5011" w:rsidP="00766CA6">
      <w:pPr>
        <w:pStyle w:val="Prrafodelista"/>
        <w:jc w:val="both"/>
        <w:rPr>
          <w:rFonts w:ascii="Verdana" w:hAnsi="Verdana"/>
          <w:sz w:val="20"/>
          <w:szCs w:val="20"/>
        </w:rPr>
      </w:pPr>
    </w:p>
    <w:p w14:paraId="51128F46" w14:textId="1D670999" w:rsidR="009A5011" w:rsidRDefault="003F59FA" w:rsidP="00766CA6">
      <w:pPr>
        <w:pStyle w:val="Prrafodelista"/>
        <w:numPr>
          <w:ilvl w:val="0"/>
          <w:numId w:val="36"/>
        </w:numPr>
        <w:ind w:left="567" w:hanging="567"/>
        <w:jc w:val="both"/>
        <w:rPr>
          <w:rFonts w:ascii="Verdana" w:hAnsi="Verdana"/>
          <w:sz w:val="20"/>
          <w:szCs w:val="20"/>
        </w:rPr>
      </w:pPr>
      <w:r>
        <w:rPr>
          <w:rFonts w:ascii="Verdana" w:hAnsi="Verdana"/>
          <w:sz w:val="20"/>
          <w:szCs w:val="20"/>
        </w:rPr>
        <w:t xml:space="preserve">Recursos de la </w:t>
      </w:r>
      <w:r w:rsidR="007018A6" w:rsidRPr="007018A6">
        <w:rPr>
          <w:rFonts w:ascii="Verdana" w:hAnsi="Verdana"/>
          <w:sz w:val="20"/>
          <w:szCs w:val="20"/>
        </w:rPr>
        <w:t xml:space="preserve">Administradora de los Recursos del Sistema General de Seguridad Social en Salud </w:t>
      </w:r>
      <w:r w:rsidR="009A5011">
        <w:rPr>
          <w:rFonts w:ascii="Verdana" w:hAnsi="Verdana"/>
          <w:sz w:val="20"/>
          <w:szCs w:val="20"/>
        </w:rPr>
        <w:t>(</w:t>
      </w:r>
      <w:r w:rsidR="007018A6">
        <w:rPr>
          <w:rFonts w:ascii="Verdana" w:hAnsi="Verdana"/>
          <w:sz w:val="20"/>
          <w:szCs w:val="20"/>
        </w:rPr>
        <w:t>ADRES</w:t>
      </w:r>
      <w:r w:rsidR="009A5011">
        <w:rPr>
          <w:rFonts w:ascii="Verdana" w:hAnsi="Verdana"/>
          <w:sz w:val="20"/>
          <w:szCs w:val="20"/>
        </w:rPr>
        <w:t>)</w:t>
      </w:r>
      <w:r w:rsidR="009A5011" w:rsidRPr="009A5011">
        <w:rPr>
          <w:rFonts w:ascii="Verdana" w:hAnsi="Verdana"/>
          <w:sz w:val="20"/>
          <w:szCs w:val="20"/>
        </w:rPr>
        <w:t>.</w:t>
      </w:r>
    </w:p>
    <w:p w14:paraId="500F501D" w14:textId="77777777" w:rsidR="009A5011" w:rsidRPr="009A5011" w:rsidRDefault="009A5011" w:rsidP="00766CA6">
      <w:pPr>
        <w:pStyle w:val="Prrafodelista"/>
        <w:jc w:val="both"/>
        <w:rPr>
          <w:rFonts w:ascii="Verdana" w:hAnsi="Verdana"/>
          <w:sz w:val="20"/>
          <w:szCs w:val="20"/>
        </w:rPr>
      </w:pPr>
    </w:p>
    <w:p w14:paraId="65E91790" w14:textId="020E8C42"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 xml:space="preserve">Fondo de </w:t>
      </w:r>
      <w:r w:rsidR="00460547">
        <w:rPr>
          <w:rFonts w:ascii="Verdana" w:hAnsi="Verdana"/>
          <w:sz w:val="20"/>
          <w:szCs w:val="20"/>
        </w:rPr>
        <w:t>s</w:t>
      </w:r>
      <w:r w:rsidRPr="009A5011">
        <w:rPr>
          <w:rFonts w:ascii="Verdana" w:hAnsi="Verdana"/>
          <w:sz w:val="20"/>
          <w:szCs w:val="20"/>
        </w:rPr>
        <w:t xml:space="preserve">olidaridad </w:t>
      </w:r>
      <w:r w:rsidR="00460547">
        <w:rPr>
          <w:rFonts w:ascii="Verdana" w:hAnsi="Verdana"/>
          <w:sz w:val="20"/>
          <w:szCs w:val="20"/>
        </w:rPr>
        <w:t>p</w:t>
      </w:r>
      <w:r w:rsidRPr="009A5011">
        <w:rPr>
          <w:rFonts w:ascii="Verdana" w:hAnsi="Verdana"/>
          <w:sz w:val="20"/>
          <w:szCs w:val="20"/>
        </w:rPr>
        <w:t>ensional.</w:t>
      </w:r>
    </w:p>
    <w:p w14:paraId="3A39C9D4" w14:textId="77777777" w:rsidR="009A5011" w:rsidRPr="009A5011" w:rsidRDefault="009A5011" w:rsidP="00766CA6">
      <w:pPr>
        <w:pStyle w:val="Prrafodelista"/>
        <w:jc w:val="both"/>
        <w:rPr>
          <w:rFonts w:ascii="Verdana" w:hAnsi="Verdana"/>
          <w:sz w:val="20"/>
          <w:szCs w:val="20"/>
        </w:rPr>
      </w:pPr>
    </w:p>
    <w:p w14:paraId="0D6C0048" w14:textId="23FB23EF"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 xml:space="preserve">Fondos de </w:t>
      </w:r>
      <w:r w:rsidR="00460547">
        <w:rPr>
          <w:rFonts w:ascii="Verdana" w:hAnsi="Verdana"/>
          <w:sz w:val="20"/>
          <w:szCs w:val="20"/>
        </w:rPr>
        <w:t>r</w:t>
      </w:r>
      <w:r w:rsidRPr="009A5011">
        <w:rPr>
          <w:rFonts w:ascii="Verdana" w:hAnsi="Verdana"/>
          <w:sz w:val="20"/>
          <w:szCs w:val="20"/>
        </w:rPr>
        <w:t xml:space="preserve">iesgos </w:t>
      </w:r>
      <w:r w:rsidR="00460547">
        <w:rPr>
          <w:rFonts w:ascii="Verdana" w:hAnsi="Verdana"/>
          <w:sz w:val="20"/>
          <w:szCs w:val="20"/>
        </w:rPr>
        <w:t>l</w:t>
      </w:r>
      <w:r w:rsidRPr="009A5011">
        <w:rPr>
          <w:rFonts w:ascii="Verdana" w:hAnsi="Verdana"/>
          <w:sz w:val="20"/>
          <w:szCs w:val="20"/>
        </w:rPr>
        <w:t>aborales.</w:t>
      </w:r>
    </w:p>
    <w:p w14:paraId="03538055" w14:textId="77777777" w:rsidR="009A5011" w:rsidRPr="009A5011" w:rsidRDefault="009A5011" w:rsidP="00766CA6">
      <w:pPr>
        <w:pStyle w:val="Prrafodelista"/>
        <w:jc w:val="both"/>
        <w:rPr>
          <w:rFonts w:ascii="Verdana" w:hAnsi="Verdana"/>
          <w:sz w:val="20"/>
          <w:szCs w:val="20"/>
        </w:rPr>
      </w:pPr>
    </w:p>
    <w:p w14:paraId="6D0C5F48" w14:textId="4978E12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 xml:space="preserve">Fondos de reservas pensionales administrados por las entidades administradoras del </w:t>
      </w:r>
      <w:r w:rsidR="00A21DE8">
        <w:rPr>
          <w:rFonts w:ascii="Verdana" w:hAnsi="Verdana"/>
          <w:sz w:val="20"/>
          <w:szCs w:val="20"/>
        </w:rPr>
        <w:t>r</w:t>
      </w:r>
      <w:r w:rsidRPr="009A5011">
        <w:rPr>
          <w:rFonts w:ascii="Verdana" w:hAnsi="Verdana"/>
          <w:sz w:val="20"/>
          <w:szCs w:val="20"/>
        </w:rPr>
        <w:t>égimen solidario de prima media con prestación definida.</w:t>
      </w:r>
    </w:p>
    <w:p w14:paraId="0EB03E60" w14:textId="77777777" w:rsidR="009A5011" w:rsidRPr="009A5011" w:rsidRDefault="009A5011" w:rsidP="00766CA6">
      <w:pPr>
        <w:pStyle w:val="Prrafodelista"/>
        <w:jc w:val="both"/>
        <w:rPr>
          <w:rFonts w:ascii="Verdana" w:hAnsi="Verdana"/>
          <w:sz w:val="20"/>
          <w:szCs w:val="20"/>
        </w:rPr>
      </w:pPr>
    </w:p>
    <w:p w14:paraId="679C3164"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Fondos de reservas de riesgos laborales administrados por Positiva Compañía de Seguros S.A.</w:t>
      </w:r>
    </w:p>
    <w:p w14:paraId="6E1FBC7E" w14:textId="77777777" w:rsidR="009A5011" w:rsidRPr="009A5011" w:rsidRDefault="009A5011" w:rsidP="00766CA6">
      <w:pPr>
        <w:pStyle w:val="Prrafodelista"/>
        <w:jc w:val="both"/>
        <w:rPr>
          <w:rFonts w:ascii="Verdana" w:hAnsi="Verdana"/>
          <w:sz w:val="20"/>
          <w:szCs w:val="20"/>
        </w:rPr>
      </w:pPr>
    </w:p>
    <w:p w14:paraId="6C5FE301"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Los recursos a que hace referencia el artículo 54 de la Ley 100 de 1993.</w:t>
      </w:r>
    </w:p>
    <w:p w14:paraId="35949506" w14:textId="77777777" w:rsidR="009A5011" w:rsidRPr="009A5011" w:rsidRDefault="009A5011" w:rsidP="00766CA6">
      <w:pPr>
        <w:pStyle w:val="Prrafodelista"/>
        <w:jc w:val="both"/>
        <w:rPr>
          <w:rFonts w:ascii="Verdana" w:hAnsi="Verdana"/>
          <w:sz w:val="20"/>
          <w:szCs w:val="20"/>
        </w:rPr>
      </w:pPr>
    </w:p>
    <w:p w14:paraId="72EAAFA7"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Los recursos destinados a la garantía y pago de obligaciones pensionales legales a cargo del Fondo Nacional de Prestaciones Sociales del Magisterio, de las Fuerzas Armadas, la Policía Nacional y ECOPETROL.</w:t>
      </w:r>
    </w:p>
    <w:p w14:paraId="30618B69" w14:textId="77777777" w:rsidR="009A5011" w:rsidRPr="009A5011" w:rsidRDefault="009A5011" w:rsidP="00766CA6">
      <w:pPr>
        <w:pStyle w:val="Prrafodelista"/>
        <w:jc w:val="both"/>
        <w:rPr>
          <w:rFonts w:ascii="Verdana" w:hAnsi="Verdana"/>
          <w:sz w:val="20"/>
          <w:szCs w:val="20"/>
        </w:rPr>
      </w:pPr>
    </w:p>
    <w:p w14:paraId="38CE967B" w14:textId="77777777" w:rsidR="009A5011"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Los demás que manejen recursos del Sistema de Seguridad Social, incluidos aquellos fondos administrados por EA.</w:t>
      </w:r>
    </w:p>
    <w:p w14:paraId="686FAC98" w14:textId="77777777" w:rsidR="009A5011" w:rsidRPr="009A5011" w:rsidRDefault="009A5011" w:rsidP="00766CA6">
      <w:pPr>
        <w:pStyle w:val="Prrafodelista"/>
        <w:jc w:val="both"/>
        <w:rPr>
          <w:rFonts w:ascii="Verdana" w:hAnsi="Verdana"/>
          <w:sz w:val="20"/>
          <w:szCs w:val="20"/>
        </w:rPr>
      </w:pPr>
    </w:p>
    <w:p w14:paraId="24132D05" w14:textId="04A87EFC" w:rsidR="00351E7A" w:rsidRDefault="009A5011" w:rsidP="00766CA6">
      <w:pPr>
        <w:pStyle w:val="Prrafodelista"/>
        <w:numPr>
          <w:ilvl w:val="0"/>
          <w:numId w:val="36"/>
        </w:numPr>
        <w:ind w:left="567" w:hanging="567"/>
        <w:jc w:val="both"/>
        <w:rPr>
          <w:rFonts w:ascii="Verdana" w:hAnsi="Verdana"/>
          <w:sz w:val="20"/>
          <w:szCs w:val="20"/>
        </w:rPr>
      </w:pPr>
      <w:r w:rsidRPr="009A5011">
        <w:rPr>
          <w:rFonts w:ascii="Verdana" w:hAnsi="Verdana"/>
          <w:sz w:val="20"/>
          <w:szCs w:val="20"/>
        </w:rPr>
        <w:t>Los demás que señale la SFC.</w:t>
      </w:r>
    </w:p>
    <w:p w14:paraId="4840EF11" w14:textId="77777777" w:rsidR="00351E7A" w:rsidRPr="00351E7A" w:rsidRDefault="00351E7A" w:rsidP="00766CA6">
      <w:pPr>
        <w:pStyle w:val="Prrafodelista"/>
        <w:jc w:val="both"/>
        <w:rPr>
          <w:rFonts w:ascii="Verdana" w:hAnsi="Verdana"/>
          <w:sz w:val="20"/>
          <w:szCs w:val="20"/>
        </w:rPr>
      </w:pPr>
    </w:p>
    <w:p w14:paraId="0EB2CE65" w14:textId="740DEA02" w:rsidR="00351E7A" w:rsidRDefault="00351E7A" w:rsidP="00766CA6">
      <w:pPr>
        <w:pStyle w:val="Prrafodelista"/>
        <w:numPr>
          <w:ilvl w:val="0"/>
          <w:numId w:val="6"/>
        </w:numPr>
        <w:ind w:left="567" w:hanging="283"/>
        <w:jc w:val="both"/>
        <w:rPr>
          <w:rFonts w:ascii="Verdana" w:hAnsi="Verdana"/>
          <w:b/>
          <w:bCs/>
          <w:sz w:val="20"/>
          <w:szCs w:val="20"/>
        </w:rPr>
      </w:pPr>
      <w:r>
        <w:rPr>
          <w:rFonts w:ascii="Verdana" w:hAnsi="Verdana"/>
          <w:b/>
          <w:bCs/>
          <w:sz w:val="20"/>
          <w:szCs w:val="20"/>
        </w:rPr>
        <w:t>Criterios para los modelos internos</w:t>
      </w:r>
    </w:p>
    <w:p w14:paraId="22887149" w14:textId="3BA54ED5" w:rsidR="00503080" w:rsidRPr="0086035E" w:rsidRDefault="00351E7A" w:rsidP="00766CA6">
      <w:pPr>
        <w:spacing w:after="0"/>
        <w:jc w:val="both"/>
        <w:rPr>
          <w:rFonts w:ascii="Verdana" w:hAnsi="Verdana"/>
          <w:sz w:val="20"/>
          <w:szCs w:val="20"/>
        </w:rPr>
      </w:pPr>
      <w:r w:rsidRPr="00B61B36">
        <w:rPr>
          <w:rFonts w:ascii="Verdana" w:hAnsi="Verdana"/>
          <w:sz w:val="20"/>
          <w:szCs w:val="20"/>
        </w:rPr>
        <w:t>1</w:t>
      </w:r>
      <w:r w:rsidR="00503080" w:rsidRPr="0086035E">
        <w:rPr>
          <w:rFonts w:ascii="Verdana" w:hAnsi="Verdana"/>
          <w:sz w:val="20"/>
          <w:szCs w:val="20"/>
        </w:rPr>
        <w:t>.1.</w:t>
      </w:r>
      <w:r w:rsidR="00503080">
        <w:rPr>
          <w:rFonts w:ascii="Verdana" w:hAnsi="Verdana"/>
          <w:sz w:val="20"/>
          <w:szCs w:val="20"/>
        </w:rPr>
        <w:t>2</w:t>
      </w:r>
      <w:r w:rsidR="00503080" w:rsidRPr="0086035E">
        <w:rPr>
          <w:rFonts w:ascii="Verdana" w:hAnsi="Verdana"/>
          <w:sz w:val="20"/>
          <w:szCs w:val="20"/>
        </w:rPr>
        <w:t>.</w:t>
      </w:r>
      <w:r w:rsidR="00472A66">
        <w:rPr>
          <w:rFonts w:ascii="Verdana" w:hAnsi="Verdana"/>
          <w:sz w:val="20"/>
          <w:szCs w:val="20"/>
        </w:rPr>
        <w:t>93</w:t>
      </w:r>
      <w:r w:rsidR="00503080" w:rsidRPr="0086035E">
        <w:rPr>
          <w:rFonts w:ascii="Verdana" w:hAnsi="Verdana"/>
          <w:sz w:val="20"/>
          <w:szCs w:val="20"/>
        </w:rPr>
        <w:t>.</w:t>
      </w:r>
    </w:p>
    <w:p w14:paraId="2652BDA3" w14:textId="77777777" w:rsidR="00D640DF" w:rsidRDefault="00D640DF" w:rsidP="00766CA6">
      <w:pPr>
        <w:spacing w:after="0"/>
        <w:jc w:val="both"/>
        <w:rPr>
          <w:rFonts w:ascii="Verdana" w:hAnsi="Verdana"/>
          <w:sz w:val="20"/>
          <w:szCs w:val="20"/>
        </w:rPr>
      </w:pPr>
      <w:r w:rsidRPr="00D640DF">
        <w:rPr>
          <w:rFonts w:ascii="Verdana" w:hAnsi="Verdana"/>
          <w:sz w:val="20"/>
          <w:szCs w:val="20"/>
        </w:rPr>
        <w:t>Los modelos internos que desarrollen e implementen las entidades para la medición del riesgo de mercado deben cumplir los siguientes criterios cuantitativos, independientemente de si el modelo interno es sometido o no para el procedimiento de no objeción ante la SFC:</w:t>
      </w:r>
    </w:p>
    <w:p w14:paraId="67DF3B76" w14:textId="77777777" w:rsidR="005024CB" w:rsidRPr="005024CB" w:rsidRDefault="005024CB" w:rsidP="00766CA6">
      <w:pPr>
        <w:spacing w:after="0"/>
        <w:jc w:val="both"/>
        <w:rPr>
          <w:rFonts w:ascii="Verdana" w:hAnsi="Verdana"/>
          <w:sz w:val="20"/>
          <w:szCs w:val="20"/>
        </w:rPr>
      </w:pPr>
    </w:p>
    <w:p w14:paraId="3420CC98" w14:textId="3CECF043" w:rsidR="005024CB" w:rsidRDefault="005024CB" w:rsidP="00766CA6">
      <w:pPr>
        <w:pStyle w:val="Prrafodelista"/>
        <w:numPr>
          <w:ilvl w:val="0"/>
          <w:numId w:val="37"/>
        </w:numPr>
        <w:spacing w:after="0"/>
        <w:ind w:left="567" w:hanging="567"/>
        <w:jc w:val="both"/>
        <w:rPr>
          <w:rFonts w:ascii="Verdana" w:hAnsi="Verdana"/>
          <w:sz w:val="20"/>
          <w:szCs w:val="20"/>
        </w:rPr>
      </w:pPr>
      <w:r w:rsidRPr="005024CB">
        <w:rPr>
          <w:rFonts w:ascii="Verdana" w:hAnsi="Verdana"/>
          <w:sz w:val="20"/>
          <w:szCs w:val="20"/>
        </w:rPr>
        <w:t xml:space="preserve">El modelo debe capturar los principales factores de riesgo a los cuales esté expuesta la entidad, incluyendo cuando menos los factores de riesgo contemplados </w:t>
      </w:r>
      <w:r w:rsidRPr="005024CB">
        <w:rPr>
          <w:rFonts w:ascii="Verdana" w:hAnsi="Verdana"/>
          <w:sz w:val="20"/>
          <w:szCs w:val="20"/>
        </w:rPr>
        <w:lastRenderedPageBreak/>
        <w:t xml:space="preserve">en el modelo estándar que le resulte aplicable según las instrucciones señaladas en los </w:t>
      </w:r>
      <w:r w:rsidR="008A5E43">
        <w:rPr>
          <w:rFonts w:ascii="Verdana" w:hAnsi="Verdana"/>
          <w:sz w:val="20"/>
          <w:szCs w:val="20"/>
        </w:rPr>
        <w:t>a</w:t>
      </w:r>
      <w:r w:rsidRPr="005024CB">
        <w:rPr>
          <w:rFonts w:ascii="Verdana" w:hAnsi="Verdana"/>
          <w:sz w:val="20"/>
          <w:szCs w:val="20"/>
        </w:rPr>
        <w:t xml:space="preserve">nexos 6, 7 y 8 del presente </w:t>
      </w:r>
      <w:r w:rsidR="008A5E43">
        <w:rPr>
          <w:rFonts w:ascii="Verdana" w:hAnsi="Verdana"/>
          <w:sz w:val="20"/>
          <w:szCs w:val="20"/>
        </w:rPr>
        <w:t>c</w:t>
      </w:r>
      <w:r w:rsidRPr="005024CB">
        <w:rPr>
          <w:rFonts w:ascii="Verdana" w:hAnsi="Verdana"/>
          <w:sz w:val="20"/>
          <w:szCs w:val="20"/>
        </w:rPr>
        <w:t>apítulo.</w:t>
      </w:r>
    </w:p>
    <w:p w14:paraId="190EFC74" w14:textId="77777777" w:rsidR="005024CB" w:rsidRDefault="005024CB" w:rsidP="00766CA6">
      <w:pPr>
        <w:pStyle w:val="Prrafodelista"/>
        <w:spacing w:after="0"/>
        <w:ind w:left="567"/>
        <w:jc w:val="both"/>
        <w:rPr>
          <w:rFonts w:ascii="Verdana" w:hAnsi="Verdana"/>
          <w:sz w:val="20"/>
          <w:szCs w:val="20"/>
        </w:rPr>
      </w:pPr>
    </w:p>
    <w:p w14:paraId="3B5B9E1C" w14:textId="77777777" w:rsidR="005024CB" w:rsidRDefault="005024CB" w:rsidP="00766CA6">
      <w:pPr>
        <w:pStyle w:val="Prrafodelista"/>
        <w:numPr>
          <w:ilvl w:val="0"/>
          <w:numId w:val="37"/>
        </w:numPr>
        <w:spacing w:after="0"/>
        <w:ind w:left="567" w:hanging="567"/>
        <w:jc w:val="both"/>
        <w:rPr>
          <w:rFonts w:ascii="Verdana" w:hAnsi="Verdana"/>
          <w:sz w:val="20"/>
          <w:szCs w:val="20"/>
        </w:rPr>
      </w:pPr>
      <w:r w:rsidRPr="005024CB">
        <w:rPr>
          <w:rFonts w:ascii="Verdana" w:hAnsi="Verdana"/>
          <w:sz w:val="20"/>
          <w:szCs w:val="20"/>
        </w:rPr>
        <w:t>El valor en riesgo debe ser calculado diariamente.</w:t>
      </w:r>
    </w:p>
    <w:p w14:paraId="44CD7815" w14:textId="77777777" w:rsidR="005024CB" w:rsidRPr="005024CB" w:rsidRDefault="005024CB" w:rsidP="00766CA6">
      <w:pPr>
        <w:pStyle w:val="Prrafodelista"/>
        <w:jc w:val="both"/>
        <w:rPr>
          <w:rFonts w:ascii="Verdana" w:hAnsi="Verdana"/>
          <w:sz w:val="20"/>
          <w:szCs w:val="20"/>
        </w:rPr>
      </w:pPr>
    </w:p>
    <w:p w14:paraId="70991EFC" w14:textId="77777777" w:rsidR="005024CB" w:rsidRDefault="005024CB" w:rsidP="00766CA6">
      <w:pPr>
        <w:pStyle w:val="Prrafodelista"/>
        <w:numPr>
          <w:ilvl w:val="0"/>
          <w:numId w:val="37"/>
        </w:numPr>
        <w:spacing w:after="0"/>
        <w:ind w:left="567" w:hanging="567"/>
        <w:jc w:val="both"/>
        <w:rPr>
          <w:rFonts w:ascii="Verdana" w:hAnsi="Verdana"/>
          <w:sz w:val="20"/>
          <w:szCs w:val="20"/>
        </w:rPr>
      </w:pPr>
      <w:r w:rsidRPr="005024CB">
        <w:rPr>
          <w:rFonts w:ascii="Verdana" w:hAnsi="Verdana"/>
          <w:sz w:val="20"/>
          <w:szCs w:val="20"/>
        </w:rPr>
        <w:t>Para la estimación de los parámetros estadísticos empleados por los modelos se debe considerar un período de observación efectivo de por lo menos 1 año. Cuando la periodicidad de las series no sea diaria, se deben considerar por lo menos 250 observaciones que correspondan a días hábiles.</w:t>
      </w:r>
    </w:p>
    <w:p w14:paraId="3D468BC7" w14:textId="77777777" w:rsidR="005024CB" w:rsidRPr="005024CB" w:rsidRDefault="005024CB" w:rsidP="00766CA6">
      <w:pPr>
        <w:pStyle w:val="Prrafodelista"/>
        <w:jc w:val="both"/>
        <w:rPr>
          <w:rFonts w:ascii="Verdana" w:hAnsi="Verdana"/>
          <w:sz w:val="20"/>
          <w:szCs w:val="20"/>
        </w:rPr>
      </w:pPr>
    </w:p>
    <w:p w14:paraId="0215FBEA" w14:textId="77777777" w:rsidR="005024CB" w:rsidRDefault="005024CB" w:rsidP="00766CA6">
      <w:pPr>
        <w:pStyle w:val="Prrafodelista"/>
        <w:numPr>
          <w:ilvl w:val="0"/>
          <w:numId w:val="37"/>
        </w:numPr>
        <w:spacing w:after="0"/>
        <w:ind w:left="567" w:hanging="567"/>
        <w:jc w:val="both"/>
        <w:rPr>
          <w:rFonts w:ascii="Verdana" w:hAnsi="Verdana"/>
          <w:sz w:val="20"/>
          <w:szCs w:val="20"/>
        </w:rPr>
      </w:pPr>
      <w:r w:rsidRPr="005024CB">
        <w:rPr>
          <w:rFonts w:ascii="Verdana" w:hAnsi="Verdana"/>
          <w:sz w:val="20"/>
          <w:szCs w:val="20"/>
        </w:rPr>
        <w:t>Para la estimación del valor en riesgo se pueden adoptar tanto enfoques paramétricos como no paramétricos (simulaciones históricas, simulaciones de Monte Carlo, entre otros).</w:t>
      </w:r>
    </w:p>
    <w:p w14:paraId="206DDFC8" w14:textId="77777777" w:rsidR="005024CB" w:rsidRPr="005024CB" w:rsidRDefault="005024CB" w:rsidP="00766CA6">
      <w:pPr>
        <w:pStyle w:val="Prrafodelista"/>
        <w:jc w:val="both"/>
        <w:rPr>
          <w:rFonts w:ascii="Verdana" w:hAnsi="Verdana"/>
          <w:sz w:val="20"/>
          <w:szCs w:val="20"/>
        </w:rPr>
      </w:pPr>
    </w:p>
    <w:p w14:paraId="56D73F83" w14:textId="77777777" w:rsidR="005024CB" w:rsidRDefault="005024CB" w:rsidP="00766CA6">
      <w:pPr>
        <w:pStyle w:val="Prrafodelista"/>
        <w:numPr>
          <w:ilvl w:val="0"/>
          <w:numId w:val="37"/>
        </w:numPr>
        <w:spacing w:after="0"/>
        <w:ind w:left="567" w:hanging="567"/>
        <w:jc w:val="both"/>
        <w:rPr>
          <w:rFonts w:ascii="Verdana" w:hAnsi="Verdana"/>
          <w:sz w:val="20"/>
          <w:szCs w:val="20"/>
        </w:rPr>
      </w:pPr>
      <w:r w:rsidRPr="005024CB">
        <w:rPr>
          <w:rFonts w:ascii="Verdana" w:hAnsi="Verdana"/>
          <w:sz w:val="20"/>
          <w:szCs w:val="20"/>
        </w:rPr>
        <w:t>La base de datos utilizada para el diseño del modelo debe actualizarse permanentemente.</w:t>
      </w:r>
    </w:p>
    <w:p w14:paraId="1AAC798E" w14:textId="77777777" w:rsidR="005024CB" w:rsidRPr="005024CB" w:rsidRDefault="005024CB" w:rsidP="00766CA6">
      <w:pPr>
        <w:pStyle w:val="Prrafodelista"/>
        <w:jc w:val="both"/>
        <w:rPr>
          <w:rFonts w:ascii="Verdana" w:hAnsi="Verdana"/>
          <w:sz w:val="20"/>
          <w:szCs w:val="20"/>
        </w:rPr>
      </w:pPr>
    </w:p>
    <w:p w14:paraId="2CD47B17" w14:textId="14FA646A" w:rsidR="00D640DF" w:rsidRDefault="005024CB" w:rsidP="00766CA6">
      <w:pPr>
        <w:pStyle w:val="Prrafodelista"/>
        <w:numPr>
          <w:ilvl w:val="0"/>
          <w:numId w:val="37"/>
        </w:numPr>
        <w:spacing w:after="0"/>
        <w:ind w:left="567" w:hanging="567"/>
        <w:jc w:val="both"/>
        <w:rPr>
          <w:rFonts w:ascii="Verdana" w:hAnsi="Verdana"/>
          <w:sz w:val="20"/>
          <w:szCs w:val="20"/>
        </w:rPr>
      </w:pPr>
      <w:r w:rsidRPr="005024CB">
        <w:rPr>
          <w:rFonts w:ascii="Verdana" w:hAnsi="Verdana"/>
          <w:sz w:val="20"/>
          <w:szCs w:val="20"/>
        </w:rPr>
        <w:t xml:space="preserve">Los modelos utilizados deben capturar adecuadamente el riesgo de mercado de </w:t>
      </w:r>
      <w:r w:rsidR="009A664F">
        <w:rPr>
          <w:rFonts w:ascii="Verdana" w:hAnsi="Verdana"/>
          <w:sz w:val="20"/>
          <w:szCs w:val="20"/>
        </w:rPr>
        <w:t xml:space="preserve">las </w:t>
      </w:r>
      <w:r w:rsidRPr="005024CB">
        <w:rPr>
          <w:rFonts w:ascii="Verdana" w:hAnsi="Verdana"/>
          <w:sz w:val="20"/>
          <w:szCs w:val="20"/>
        </w:rPr>
        <w:t>posiciones en opciones</w:t>
      </w:r>
      <w:r w:rsidR="00A776E6">
        <w:rPr>
          <w:rFonts w:ascii="Verdana" w:hAnsi="Verdana"/>
          <w:sz w:val="20"/>
          <w:szCs w:val="20"/>
        </w:rPr>
        <w:t xml:space="preserve">, para lo cual se debe </w:t>
      </w:r>
      <w:r w:rsidRPr="005024CB">
        <w:rPr>
          <w:rFonts w:ascii="Verdana" w:hAnsi="Verdana"/>
          <w:sz w:val="20"/>
          <w:szCs w:val="20"/>
        </w:rPr>
        <w:t>tene</w:t>
      </w:r>
      <w:r w:rsidR="00A776E6">
        <w:rPr>
          <w:rFonts w:ascii="Verdana" w:hAnsi="Verdana"/>
          <w:sz w:val="20"/>
          <w:szCs w:val="20"/>
        </w:rPr>
        <w:t xml:space="preserve">r </w:t>
      </w:r>
      <w:r w:rsidRPr="005024CB">
        <w:rPr>
          <w:rFonts w:ascii="Verdana" w:hAnsi="Verdana"/>
          <w:sz w:val="20"/>
          <w:szCs w:val="20"/>
        </w:rPr>
        <w:t>en cuenta lo siguiente:</w:t>
      </w:r>
    </w:p>
    <w:p w14:paraId="2536B9A6" w14:textId="77777777" w:rsidR="00472A66" w:rsidRPr="00472A66" w:rsidRDefault="00472A66" w:rsidP="00766CA6">
      <w:pPr>
        <w:pStyle w:val="Prrafodelista"/>
        <w:jc w:val="both"/>
        <w:rPr>
          <w:rFonts w:ascii="Verdana" w:hAnsi="Verdana"/>
          <w:sz w:val="20"/>
          <w:szCs w:val="20"/>
        </w:rPr>
      </w:pPr>
    </w:p>
    <w:p w14:paraId="19D5329B" w14:textId="77777777" w:rsidR="00472A66" w:rsidRDefault="00472A66" w:rsidP="00766CA6">
      <w:pPr>
        <w:pStyle w:val="Prrafodelista"/>
        <w:numPr>
          <w:ilvl w:val="0"/>
          <w:numId w:val="38"/>
        </w:numPr>
        <w:spacing w:after="0"/>
        <w:ind w:left="1134" w:hanging="567"/>
        <w:jc w:val="both"/>
        <w:rPr>
          <w:rFonts w:ascii="Verdana" w:hAnsi="Verdana"/>
          <w:sz w:val="20"/>
          <w:szCs w:val="20"/>
        </w:rPr>
      </w:pPr>
      <w:r w:rsidRPr="00E42D4A">
        <w:rPr>
          <w:rFonts w:ascii="Verdana" w:hAnsi="Verdana"/>
          <w:sz w:val="20"/>
          <w:szCs w:val="20"/>
        </w:rPr>
        <w:t>Deben capturar las características no lineales del precio de las posiciones.</w:t>
      </w:r>
    </w:p>
    <w:p w14:paraId="2303366F" w14:textId="77777777" w:rsidR="00472A66" w:rsidRDefault="00472A66" w:rsidP="00766CA6">
      <w:pPr>
        <w:pStyle w:val="Prrafodelista"/>
        <w:spacing w:after="0"/>
        <w:ind w:left="1134"/>
        <w:jc w:val="both"/>
        <w:rPr>
          <w:rFonts w:ascii="Verdana" w:hAnsi="Verdana"/>
          <w:sz w:val="20"/>
          <w:szCs w:val="20"/>
        </w:rPr>
      </w:pPr>
    </w:p>
    <w:p w14:paraId="4D4BF6CC" w14:textId="77777777" w:rsidR="00472A66" w:rsidRDefault="00472A66" w:rsidP="00766CA6">
      <w:pPr>
        <w:pStyle w:val="Prrafodelista"/>
        <w:numPr>
          <w:ilvl w:val="0"/>
          <w:numId w:val="38"/>
        </w:numPr>
        <w:spacing w:after="0"/>
        <w:ind w:left="1134" w:hanging="567"/>
        <w:jc w:val="both"/>
        <w:rPr>
          <w:rFonts w:ascii="Verdana" w:hAnsi="Verdana"/>
          <w:sz w:val="20"/>
          <w:szCs w:val="20"/>
        </w:rPr>
      </w:pPr>
      <w:r w:rsidRPr="00E42D4A">
        <w:rPr>
          <w:rFonts w:ascii="Verdana" w:hAnsi="Verdana"/>
          <w:sz w:val="20"/>
          <w:szCs w:val="20"/>
        </w:rPr>
        <w:t>Deben capturar la sensibilidad de estas posiciones a la volatilidad del valor del instrumento subyacente.</w:t>
      </w:r>
    </w:p>
    <w:p w14:paraId="7647CBF8" w14:textId="77777777" w:rsidR="00472A66" w:rsidRPr="00E42D4A" w:rsidRDefault="00472A66" w:rsidP="00766CA6">
      <w:pPr>
        <w:pStyle w:val="Prrafodelista"/>
        <w:jc w:val="both"/>
        <w:rPr>
          <w:rFonts w:ascii="Verdana" w:hAnsi="Verdana"/>
          <w:sz w:val="20"/>
          <w:szCs w:val="20"/>
        </w:rPr>
      </w:pPr>
    </w:p>
    <w:p w14:paraId="3B68DD75" w14:textId="77777777" w:rsidR="00472A66" w:rsidRPr="00E42D4A" w:rsidRDefault="00472A66" w:rsidP="00766CA6">
      <w:pPr>
        <w:pStyle w:val="Prrafodelista"/>
        <w:numPr>
          <w:ilvl w:val="0"/>
          <w:numId w:val="38"/>
        </w:numPr>
        <w:spacing w:after="0"/>
        <w:ind w:left="1134" w:hanging="567"/>
        <w:jc w:val="both"/>
        <w:rPr>
          <w:rFonts w:ascii="Verdana" w:hAnsi="Verdana"/>
          <w:sz w:val="20"/>
          <w:szCs w:val="20"/>
        </w:rPr>
      </w:pPr>
      <w:r w:rsidRPr="00E42D4A">
        <w:rPr>
          <w:rFonts w:ascii="Verdana" w:hAnsi="Verdana"/>
          <w:sz w:val="20"/>
          <w:szCs w:val="20"/>
        </w:rPr>
        <w:t>Los choques contemplados deben tener un horizonte mínimo de 10 días.</w:t>
      </w:r>
    </w:p>
    <w:p w14:paraId="69DA9D41" w14:textId="77777777" w:rsidR="00472A66" w:rsidRPr="00472A66" w:rsidRDefault="00472A66" w:rsidP="00766CA6">
      <w:pPr>
        <w:pStyle w:val="Prrafodelista"/>
        <w:jc w:val="both"/>
        <w:rPr>
          <w:rFonts w:ascii="Verdana" w:hAnsi="Verdana"/>
          <w:sz w:val="20"/>
          <w:szCs w:val="20"/>
        </w:rPr>
      </w:pPr>
    </w:p>
    <w:p w14:paraId="4CBDDEEA" w14:textId="1F95BA04" w:rsidR="006D2EF2" w:rsidRDefault="00472A66" w:rsidP="00766CA6">
      <w:pPr>
        <w:pStyle w:val="Prrafodelista"/>
        <w:numPr>
          <w:ilvl w:val="0"/>
          <w:numId w:val="37"/>
        </w:numPr>
        <w:spacing w:after="0"/>
        <w:ind w:left="567" w:hanging="567"/>
        <w:jc w:val="both"/>
        <w:rPr>
          <w:rFonts w:ascii="Verdana" w:hAnsi="Verdana"/>
          <w:sz w:val="20"/>
          <w:szCs w:val="20"/>
        </w:rPr>
      </w:pPr>
      <w:r w:rsidRPr="006D2EF2">
        <w:rPr>
          <w:rFonts w:ascii="Verdana" w:hAnsi="Verdana"/>
          <w:sz w:val="20"/>
          <w:szCs w:val="20"/>
        </w:rPr>
        <w:t xml:space="preserve">En el caso del riesgo de precio de acciones de baja, mínima o ninguna bursatilidad o no inscritas en una bolsa de valores, el modelo debe emplear </w:t>
      </w:r>
      <w:r w:rsidR="00143C58">
        <w:rPr>
          <w:rFonts w:ascii="Verdana" w:hAnsi="Verdana"/>
          <w:sz w:val="20"/>
          <w:szCs w:val="20"/>
        </w:rPr>
        <w:t xml:space="preserve">las </w:t>
      </w:r>
      <w:r w:rsidRPr="006D2EF2">
        <w:rPr>
          <w:rFonts w:ascii="Verdana" w:hAnsi="Verdana"/>
          <w:sz w:val="20"/>
          <w:szCs w:val="20"/>
        </w:rPr>
        <w:t xml:space="preserve">pruebas de estrés </w:t>
      </w:r>
      <w:r w:rsidR="001049FC">
        <w:rPr>
          <w:rFonts w:ascii="Verdana" w:hAnsi="Verdana"/>
          <w:sz w:val="20"/>
          <w:szCs w:val="20"/>
        </w:rPr>
        <w:t>mencionadas entre los párrafos 1.1.2.99. y 1.1.2.102.</w:t>
      </w:r>
      <w:r w:rsidRPr="006D2EF2">
        <w:rPr>
          <w:rFonts w:ascii="Verdana" w:hAnsi="Verdana"/>
          <w:sz w:val="20"/>
          <w:szCs w:val="20"/>
        </w:rPr>
        <w:t>, las cuales deben estar debidamente documentadas y basadas en análisis propios de la entidad.</w:t>
      </w:r>
    </w:p>
    <w:p w14:paraId="29FF92D9" w14:textId="77777777" w:rsidR="006D2EF2" w:rsidRDefault="006D2EF2" w:rsidP="00766CA6">
      <w:pPr>
        <w:pStyle w:val="Prrafodelista"/>
        <w:spacing w:after="0"/>
        <w:ind w:left="567"/>
        <w:jc w:val="both"/>
        <w:rPr>
          <w:rFonts w:ascii="Verdana" w:hAnsi="Verdana"/>
          <w:sz w:val="20"/>
          <w:szCs w:val="20"/>
        </w:rPr>
      </w:pPr>
    </w:p>
    <w:p w14:paraId="3D334CA2" w14:textId="2B1D9C3D" w:rsidR="00472A66" w:rsidRPr="006D2EF2" w:rsidRDefault="00472A66" w:rsidP="00766CA6">
      <w:pPr>
        <w:pStyle w:val="Prrafodelista"/>
        <w:numPr>
          <w:ilvl w:val="0"/>
          <w:numId w:val="37"/>
        </w:numPr>
        <w:spacing w:after="0"/>
        <w:ind w:left="567" w:hanging="567"/>
        <w:jc w:val="both"/>
        <w:rPr>
          <w:rFonts w:ascii="Verdana" w:hAnsi="Verdana"/>
          <w:sz w:val="20"/>
          <w:szCs w:val="20"/>
        </w:rPr>
      </w:pPr>
      <w:r w:rsidRPr="006D2EF2">
        <w:rPr>
          <w:rFonts w:ascii="Verdana" w:hAnsi="Verdana"/>
          <w:sz w:val="20"/>
          <w:szCs w:val="20"/>
        </w:rPr>
        <w:t>El modelo puede contemplar correlaciones entre los diferentes factores de riesgo y entre las principales categorías de riesgos (ej. tasa de interés y tasa de cambio) siempre y cuando la metodología de estimación sea técnicamente consistente y las pruebas de desempeño corroboren los resultados obtenidos.</w:t>
      </w:r>
    </w:p>
    <w:p w14:paraId="1C842FEE" w14:textId="77777777" w:rsidR="00472A66" w:rsidRDefault="00472A66" w:rsidP="00766CA6">
      <w:pPr>
        <w:spacing w:after="0"/>
        <w:jc w:val="both"/>
        <w:rPr>
          <w:rFonts w:ascii="Verdana" w:hAnsi="Verdana"/>
          <w:sz w:val="20"/>
          <w:szCs w:val="20"/>
        </w:rPr>
      </w:pPr>
    </w:p>
    <w:p w14:paraId="209F493C" w14:textId="665757FB" w:rsidR="00503080" w:rsidRPr="0086035E" w:rsidRDefault="00503080" w:rsidP="00766CA6">
      <w:pPr>
        <w:spacing w:after="0"/>
        <w:jc w:val="both"/>
        <w:rPr>
          <w:rFonts w:ascii="Verdana" w:hAnsi="Verdana"/>
          <w:sz w:val="20"/>
          <w:szCs w:val="20"/>
        </w:rPr>
      </w:pPr>
      <w:r w:rsidRPr="003F3D3E">
        <w:rPr>
          <w:rFonts w:ascii="Verdana" w:hAnsi="Verdana"/>
          <w:sz w:val="20"/>
          <w:szCs w:val="20"/>
        </w:rPr>
        <w:t>1</w:t>
      </w:r>
      <w:r w:rsidRPr="0086035E">
        <w:rPr>
          <w:rFonts w:ascii="Verdana" w:hAnsi="Verdana"/>
          <w:sz w:val="20"/>
          <w:szCs w:val="20"/>
        </w:rPr>
        <w:t>.1.</w:t>
      </w:r>
      <w:r>
        <w:rPr>
          <w:rFonts w:ascii="Verdana" w:hAnsi="Verdana"/>
          <w:sz w:val="20"/>
          <w:szCs w:val="20"/>
        </w:rPr>
        <w:t>2</w:t>
      </w:r>
      <w:r w:rsidRPr="0086035E">
        <w:rPr>
          <w:rFonts w:ascii="Verdana" w:hAnsi="Verdana"/>
          <w:sz w:val="20"/>
          <w:szCs w:val="20"/>
        </w:rPr>
        <w:t>.</w:t>
      </w:r>
      <w:r w:rsidR="000A0212">
        <w:rPr>
          <w:rFonts w:ascii="Verdana" w:hAnsi="Verdana"/>
          <w:sz w:val="20"/>
          <w:szCs w:val="20"/>
        </w:rPr>
        <w:t>94</w:t>
      </w:r>
      <w:r w:rsidRPr="0086035E">
        <w:rPr>
          <w:rFonts w:ascii="Verdana" w:hAnsi="Verdana"/>
          <w:sz w:val="20"/>
          <w:szCs w:val="20"/>
        </w:rPr>
        <w:t>.</w:t>
      </w:r>
    </w:p>
    <w:p w14:paraId="00E95C54" w14:textId="77777777" w:rsidR="003378CC" w:rsidRDefault="00085BFE" w:rsidP="00766CA6">
      <w:pPr>
        <w:jc w:val="both"/>
        <w:rPr>
          <w:rFonts w:ascii="Verdana" w:hAnsi="Verdana"/>
          <w:sz w:val="20"/>
          <w:szCs w:val="20"/>
        </w:rPr>
      </w:pPr>
      <w:r w:rsidRPr="00085BFE">
        <w:rPr>
          <w:rFonts w:ascii="Verdana" w:hAnsi="Verdana"/>
          <w:sz w:val="20"/>
          <w:szCs w:val="20"/>
        </w:rPr>
        <w:t>En todo caso, los modelos internos utilizados por las entidades deben estar a disposición de la SFC aun en el caso en que los mismos no sean presentados al procedimiento de no objeción</w:t>
      </w:r>
      <w:r w:rsidR="003378CC" w:rsidRPr="00E12A3E">
        <w:rPr>
          <w:rFonts w:ascii="Verdana" w:hAnsi="Verdana"/>
          <w:sz w:val="20"/>
          <w:szCs w:val="20"/>
        </w:rPr>
        <w:t>.</w:t>
      </w:r>
    </w:p>
    <w:p w14:paraId="1387AC7A" w14:textId="2C6A8EA1" w:rsidR="003378CC" w:rsidRDefault="003378CC" w:rsidP="00BB1108">
      <w:pPr>
        <w:pStyle w:val="Prrafodelista"/>
        <w:numPr>
          <w:ilvl w:val="1"/>
          <w:numId w:val="6"/>
        </w:numPr>
        <w:ind w:left="851" w:hanging="284"/>
        <w:jc w:val="both"/>
        <w:rPr>
          <w:rFonts w:ascii="Verdana" w:hAnsi="Verdana"/>
          <w:b/>
          <w:bCs/>
          <w:sz w:val="20"/>
          <w:szCs w:val="20"/>
        </w:rPr>
      </w:pPr>
      <w:r>
        <w:rPr>
          <w:rFonts w:ascii="Verdana" w:hAnsi="Verdana"/>
          <w:b/>
          <w:bCs/>
          <w:sz w:val="20"/>
          <w:szCs w:val="20"/>
        </w:rPr>
        <w:t>Prueba de desempeño</w:t>
      </w:r>
    </w:p>
    <w:p w14:paraId="57CC0124" w14:textId="56F0935F" w:rsidR="005D5579" w:rsidRPr="0086035E" w:rsidRDefault="003378CC" w:rsidP="00766CA6">
      <w:pPr>
        <w:spacing w:after="0"/>
        <w:jc w:val="both"/>
        <w:rPr>
          <w:rFonts w:ascii="Verdana" w:hAnsi="Verdana"/>
          <w:sz w:val="20"/>
          <w:szCs w:val="20"/>
        </w:rPr>
      </w:pPr>
      <w:r w:rsidRPr="00CA5D62">
        <w:rPr>
          <w:rFonts w:ascii="Verdana" w:hAnsi="Verdana"/>
          <w:sz w:val="20"/>
          <w:szCs w:val="20"/>
        </w:rPr>
        <w:t>1</w:t>
      </w:r>
      <w:r w:rsidR="005D5579" w:rsidRPr="0086035E">
        <w:rPr>
          <w:rFonts w:ascii="Verdana" w:hAnsi="Verdana"/>
          <w:sz w:val="20"/>
          <w:szCs w:val="20"/>
        </w:rPr>
        <w:t>.1.</w:t>
      </w:r>
      <w:r w:rsidR="005D5579">
        <w:rPr>
          <w:rFonts w:ascii="Verdana" w:hAnsi="Verdana"/>
          <w:sz w:val="20"/>
          <w:szCs w:val="20"/>
        </w:rPr>
        <w:t>2</w:t>
      </w:r>
      <w:r w:rsidR="005D5579" w:rsidRPr="0086035E">
        <w:rPr>
          <w:rFonts w:ascii="Verdana" w:hAnsi="Verdana"/>
          <w:sz w:val="20"/>
          <w:szCs w:val="20"/>
        </w:rPr>
        <w:t>.</w:t>
      </w:r>
      <w:r w:rsidR="005D5579">
        <w:rPr>
          <w:rFonts w:ascii="Verdana" w:hAnsi="Verdana"/>
          <w:sz w:val="20"/>
          <w:szCs w:val="20"/>
        </w:rPr>
        <w:t>95</w:t>
      </w:r>
      <w:r w:rsidR="005D5579" w:rsidRPr="0086035E">
        <w:rPr>
          <w:rFonts w:ascii="Verdana" w:hAnsi="Verdana"/>
          <w:sz w:val="20"/>
          <w:szCs w:val="20"/>
        </w:rPr>
        <w:t>.</w:t>
      </w:r>
    </w:p>
    <w:p w14:paraId="4BB04C7A" w14:textId="0BEFD457" w:rsidR="003D75F5" w:rsidRPr="000209E8" w:rsidRDefault="00E70D37" w:rsidP="00766CA6">
      <w:pPr>
        <w:jc w:val="both"/>
        <w:rPr>
          <w:rFonts w:ascii="Verdana" w:hAnsi="Verdana"/>
          <w:sz w:val="20"/>
          <w:szCs w:val="20"/>
        </w:rPr>
      </w:pPr>
      <w:r w:rsidRPr="00E70D37">
        <w:rPr>
          <w:rFonts w:ascii="Verdana" w:hAnsi="Verdana"/>
          <w:sz w:val="20"/>
          <w:szCs w:val="20"/>
        </w:rPr>
        <w:t>Las pruebas de desempeño de los modelos internos tienen como propósito determinar la consistencia, precisión y confiabilidad de los valores en riesgo estimados, mediante la comparación de éstos con las ganancias o pérdidas efectivamente realizadas.</w:t>
      </w:r>
      <w:r w:rsidR="003D75F5" w:rsidRPr="003D75F5">
        <w:rPr>
          <w:rFonts w:ascii="Verdana" w:hAnsi="Verdana"/>
          <w:sz w:val="20"/>
          <w:szCs w:val="20"/>
        </w:rPr>
        <w:t xml:space="preserve"> </w:t>
      </w:r>
    </w:p>
    <w:p w14:paraId="0A1C24CF" w14:textId="524510B1" w:rsidR="003D75F5" w:rsidRPr="0086035E" w:rsidRDefault="003D75F5" w:rsidP="00766CA6">
      <w:pPr>
        <w:spacing w:after="0"/>
        <w:jc w:val="both"/>
        <w:rPr>
          <w:rFonts w:ascii="Verdana" w:hAnsi="Verdana"/>
          <w:sz w:val="20"/>
          <w:szCs w:val="20"/>
        </w:rPr>
      </w:pPr>
      <w:r w:rsidRPr="003F3D3E" w:rsidDel="00BF7E75">
        <w:rPr>
          <w:rFonts w:ascii="Verdana" w:hAnsi="Verdana"/>
          <w:sz w:val="20"/>
          <w:szCs w:val="20"/>
        </w:rPr>
        <w:t>1</w:t>
      </w:r>
      <w:r w:rsidRPr="0086035E">
        <w:rPr>
          <w:rFonts w:ascii="Verdana" w:hAnsi="Verdana"/>
          <w:sz w:val="20"/>
          <w:szCs w:val="20"/>
        </w:rPr>
        <w:t>.1.</w:t>
      </w:r>
      <w:r>
        <w:rPr>
          <w:rFonts w:ascii="Verdana" w:hAnsi="Verdana"/>
          <w:sz w:val="20"/>
          <w:szCs w:val="20"/>
        </w:rPr>
        <w:t>2</w:t>
      </w:r>
      <w:r w:rsidRPr="0086035E">
        <w:rPr>
          <w:rFonts w:ascii="Verdana" w:hAnsi="Verdana"/>
          <w:sz w:val="20"/>
          <w:szCs w:val="20"/>
        </w:rPr>
        <w:t>.</w:t>
      </w:r>
      <w:r>
        <w:rPr>
          <w:rFonts w:ascii="Verdana" w:hAnsi="Verdana"/>
          <w:sz w:val="20"/>
          <w:szCs w:val="20"/>
        </w:rPr>
        <w:t>96</w:t>
      </w:r>
      <w:r w:rsidRPr="0086035E">
        <w:rPr>
          <w:rFonts w:ascii="Verdana" w:hAnsi="Verdana"/>
          <w:sz w:val="20"/>
          <w:szCs w:val="20"/>
        </w:rPr>
        <w:t>.</w:t>
      </w:r>
    </w:p>
    <w:p w14:paraId="7F64F834" w14:textId="77777777" w:rsidR="003378CC" w:rsidRDefault="003D75F5" w:rsidP="00766CA6">
      <w:pPr>
        <w:jc w:val="both"/>
        <w:rPr>
          <w:rFonts w:ascii="Verdana" w:hAnsi="Verdana"/>
          <w:sz w:val="20"/>
          <w:szCs w:val="20"/>
        </w:rPr>
      </w:pPr>
      <w:r w:rsidRPr="00E70D37">
        <w:rPr>
          <w:rFonts w:ascii="Verdana" w:hAnsi="Verdana"/>
          <w:sz w:val="20"/>
          <w:szCs w:val="20"/>
        </w:rPr>
        <w:t xml:space="preserve">Las </w:t>
      </w:r>
      <w:r w:rsidR="00E70D37" w:rsidRPr="00E70D37">
        <w:rPr>
          <w:rFonts w:ascii="Verdana" w:hAnsi="Verdana"/>
          <w:sz w:val="20"/>
          <w:szCs w:val="20"/>
        </w:rPr>
        <w:t xml:space="preserve">metodologías empleadas para la realización de las pruebas de desempeño, así como los resultados de </w:t>
      </w:r>
      <w:proofErr w:type="gramStart"/>
      <w:r w:rsidR="00E70D37" w:rsidRPr="00E70D37">
        <w:rPr>
          <w:rFonts w:ascii="Verdana" w:hAnsi="Verdana"/>
          <w:sz w:val="20"/>
          <w:szCs w:val="20"/>
        </w:rPr>
        <w:t>las mismas</w:t>
      </w:r>
      <w:proofErr w:type="gramEnd"/>
      <w:r w:rsidR="00E70D37" w:rsidRPr="00E70D37">
        <w:rPr>
          <w:rFonts w:ascii="Verdana" w:hAnsi="Verdana"/>
          <w:sz w:val="20"/>
          <w:szCs w:val="20"/>
        </w:rPr>
        <w:t>, deben estar completamente documentadas y a disposición de la SFC</w:t>
      </w:r>
      <w:r w:rsidR="003378CC" w:rsidRPr="00E12A3E">
        <w:rPr>
          <w:rFonts w:ascii="Verdana" w:hAnsi="Verdana"/>
          <w:sz w:val="20"/>
          <w:szCs w:val="20"/>
        </w:rPr>
        <w:t>.</w:t>
      </w:r>
    </w:p>
    <w:p w14:paraId="5F92D18F" w14:textId="3890E036" w:rsidR="003378CC" w:rsidRDefault="003378CC" w:rsidP="00BB1108">
      <w:pPr>
        <w:pStyle w:val="Prrafodelista"/>
        <w:numPr>
          <w:ilvl w:val="1"/>
          <w:numId w:val="6"/>
        </w:numPr>
        <w:ind w:left="851" w:hanging="284"/>
        <w:jc w:val="both"/>
        <w:rPr>
          <w:rFonts w:ascii="Verdana" w:hAnsi="Verdana"/>
          <w:b/>
          <w:bCs/>
          <w:sz w:val="20"/>
          <w:szCs w:val="20"/>
        </w:rPr>
      </w:pPr>
      <w:r>
        <w:rPr>
          <w:rFonts w:ascii="Verdana" w:hAnsi="Verdana"/>
          <w:b/>
          <w:bCs/>
          <w:sz w:val="20"/>
          <w:szCs w:val="20"/>
        </w:rPr>
        <w:t>Pruebas sucias</w:t>
      </w:r>
    </w:p>
    <w:p w14:paraId="471EF1D0" w14:textId="1E7E3FBB" w:rsidR="00943C58" w:rsidRPr="0086035E" w:rsidRDefault="003378CC" w:rsidP="00766CA6">
      <w:pPr>
        <w:spacing w:after="0"/>
        <w:jc w:val="both"/>
        <w:rPr>
          <w:rFonts w:ascii="Verdana" w:hAnsi="Verdana"/>
          <w:sz w:val="20"/>
          <w:szCs w:val="20"/>
        </w:rPr>
      </w:pPr>
      <w:r w:rsidRPr="00CA5D62">
        <w:rPr>
          <w:rFonts w:ascii="Verdana" w:hAnsi="Verdana"/>
          <w:sz w:val="20"/>
          <w:szCs w:val="20"/>
        </w:rPr>
        <w:t>1</w:t>
      </w:r>
      <w:r w:rsidR="00943C58" w:rsidRPr="0086035E">
        <w:rPr>
          <w:rFonts w:ascii="Verdana" w:hAnsi="Verdana"/>
          <w:sz w:val="20"/>
          <w:szCs w:val="20"/>
        </w:rPr>
        <w:t>.1.</w:t>
      </w:r>
      <w:r w:rsidR="00943C58">
        <w:rPr>
          <w:rFonts w:ascii="Verdana" w:hAnsi="Verdana"/>
          <w:sz w:val="20"/>
          <w:szCs w:val="20"/>
        </w:rPr>
        <w:t>2</w:t>
      </w:r>
      <w:r w:rsidR="00943C58" w:rsidRPr="0086035E">
        <w:rPr>
          <w:rFonts w:ascii="Verdana" w:hAnsi="Verdana"/>
          <w:sz w:val="20"/>
          <w:szCs w:val="20"/>
        </w:rPr>
        <w:t>.</w:t>
      </w:r>
      <w:r w:rsidR="00943C58">
        <w:rPr>
          <w:rFonts w:ascii="Verdana" w:hAnsi="Verdana"/>
          <w:sz w:val="20"/>
          <w:szCs w:val="20"/>
        </w:rPr>
        <w:t>97</w:t>
      </w:r>
      <w:r w:rsidR="00943C58" w:rsidRPr="0086035E">
        <w:rPr>
          <w:rFonts w:ascii="Verdana" w:hAnsi="Verdana"/>
          <w:sz w:val="20"/>
          <w:szCs w:val="20"/>
        </w:rPr>
        <w:t>.</w:t>
      </w:r>
    </w:p>
    <w:p w14:paraId="330654BC" w14:textId="77777777" w:rsidR="00705FA9" w:rsidRDefault="00E70D37" w:rsidP="00766CA6">
      <w:pPr>
        <w:jc w:val="both"/>
        <w:rPr>
          <w:rFonts w:ascii="Verdana" w:hAnsi="Verdana"/>
          <w:sz w:val="20"/>
          <w:szCs w:val="20"/>
        </w:rPr>
      </w:pPr>
      <w:r w:rsidRPr="00E70D37">
        <w:rPr>
          <w:rFonts w:ascii="Verdana" w:hAnsi="Verdana"/>
          <w:sz w:val="20"/>
          <w:szCs w:val="20"/>
        </w:rPr>
        <w:t>La entidad debe comparar diariamente el valor en riesgo derivado de portafolios diferentes, es decir, evaluar los valores en riesgo estimados, usando el portafolio final del día T frente a las pérdidas y ganancias efectivamente obtenidas en el período de tenencia implícito en el modelo</w:t>
      </w:r>
      <w:r w:rsidR="00705FA9" w:rsidRPr="00E12A3E">
        <w:rPr>
          <w:rFonts w:ascii="Verdana" w:hAnsi="Verdana"/>
          <w:sz w:val="20"/>
          <w:szCs w:val="20"/>
        </w:rPr>
        <w:t>.</w:t>
      </w:r>
    </w:p>
    <w:p w14:paraId="14ED7D07" w14:textId="41756936" w:rsidR="00705FA9" w:rsidRDefault="00705FA9" w:rsidP="00BB1108">
      <w:pPr>
        <w:pStyle w:val="Prrafodelista"/>
        <w:numPr>
          <w:ilvl w:val="1"/>
          <w:numId w:val="6"/>
        </w:numPr>
        <w:ind w:left="851" w:hanging="284"/>
        <w:jc w:val="both"/>
        <w:rPr>
          <w:rFonts w:ascii="Verdana" w:hAnsi="Verdana"/>
          <w:b/>
          <w:bCs/>
          <w:sz w:val="20"/>
          <w:szCs w:val="20"/>
        </w:rPr>
      </w:pPr>
      <w:r>
        <w:rPr>
          <w:rFonts w:ascii="Verdana" w:hAnsi="Verdana"/>
          <w:b/>
          <w:bCs/>
          <w:sz w:val="20"/>
          <w:szCs w:val="20"/>
        </w:rPr>
        <w:t>Pruebas limpias</w:t>
      </w:r>
    </w:p>
    <w:p w14:paraId="19337662" w14:textId="75E24005" w:rsidR="00E626C1" w:rsidRDefault="00705FA9" w:rsidP="00766CA6">
      <w:pPr>
        <w:jc w:val="both"/>
        <w:rPr>
          <w:rFonts w:ascii="Verdana" w:hAnsi="Verdana"/>
          <w:sz w:val="20"/>
          <w:szCs w:val="20"/>
        </w:rPr>
      </w:pPr>
      <w:r w:rsidRPr="00CA5D62">
        <w:rPr>
          <w:rFonts w:ascii="Verdana" w:hAnsi="Verdana"/>
          <w:sz w:val="20"/>
          <w:szCs w:val="20"/>
        </w:rPr>
        <w:t>1</w:t>
      </w:r>
      <w:r w:rsidR="00E626C1" w:rsidRPr="0086035E">
        <w:rPr>
          <w:rFonts w:ascii="Verdana" w:hAnsi="Verdana"/>
          <w:sz w:val="20"/>
          <w:szCs w:val="20"/>
        </w:rPr>
        <w:t>.1.</w:t>
      </w:r>
      <w:r w:rsidR="00E626C1">
        <w:rPr>
          <w:rFonts w:ascii="Verdana" w:hAnsi="Verdana"/>
          <w:sz w:val="20"/>
          <w:szCs w:val="20"/>
        </w:rPr>
        <w:t>2</w:t>
      </w:r>
      <w:r w:rsidR="00E626C1" w:rsidRPr="0086035E">
        <w:rPr>
          <w:rFonts w:ascii="Verdana" w:hAnsi="Verdana"/>
          <w:sz w:val="20"/>
          <w:szCs w:val="20"/>
        </w:rPr>
        <w:t>.</w:t>
      </w:r>
      <w:r w:rsidR="00E626C1">
        <w:rPr>
          <w:rFonts w:ascii="Verdana" w:hAnsi="Verdana"/>
          <w:sz w:val="20"/>
          <w:szCs w:val="20"/>
        </w:rPr>
        <w:t>98</w:t>
      </w:r>
      <w:r w:rsidR="00E626C1" w:rsidRPr="0086035E">
        <w:rPr>
          <w:rFonts w:ascii="Verdana" w:hAnsi="Verdana"/>
          <w:sz w:val="20"/>
          <w:szCs w:val="20"/>
        </w:rPr>
        <w:t>.</w:t>
      </w:r>
    </w:p>
    <w:p w14:paraId="44989F44" w14:textId="54B17992" w:rsidR="00005FAB" w:rsidRDefault="00BA3A29" w:rsidP="00766CA6">
      <w:pPr>
        <w:jc w:val="both"/>
        <w:rPr>
          <w:rFonts w:ascii="Verdana" w:hAnsi="Verdana"/>
          <w:sz w:val="20"/>
          <w:szCs w:val="20"/>
        </w:rPr>
      </w:pPr>
      <w:r w:rsidRPr="00BA3A29">
        <w:rPr>
          <w:rFonts w:ascii="Verdana" w:hAnsi="Verdana"/>
          <w:sz w:val="20"/>
          <w:szCs w:val="20"/>
        </w:rPr>
        <w:t xml:space="preserve">La entidad debe comparar mensualmente los valores en riesgo estimados, usando el portafolio final del día T contra las pérdidas y ganancias que se hubieran presentado en </w:t>
      </w:r>
      <w:r w:rsidRPr="00BA3A29">
        <w:rPr>
          <w:rFonts w:ascii="Verdana" w:hAnsi="Verdana"/>
          <w:sz w:val="20"/>
          <w:szCs w:val="20"/>
        </w:rPr>
        <w:lastRenderedPageBreak/>
        <w:t>el período de tenencia implícito en el modelo de haber mantenido el mismo portafolio final del día T. Estas pruebas eliminan el efecto de las actividades de negociación ocurridas durante el período</w:t>
      </w:r>
      <w:r w:rsidR="003855A4" w:rsidRPr="00E12A3E">
        <w:rPr>
          <w:rFonts w:ascii="Verdana" w:hAnsi="Verdana"/>
          <w:sz w:val="20"/>
          <w:szCs w:val="20"/>
        </w:rPr>
        <w:t>.</w:t>
      </w:r>
    </w:p>
    <w:p w14:paraId="3335EB75" w14:textId="44E60EFB" w:rsidR="003855A4" w:rsidRDefault="00827246" w:rsidP="00766CA6">
      <w:pPr>
        <w:pStyle w:val="Prrafodelista"/>
        <w:numPr>
          <w:ilvl w:val="0"/>
          <w:numId w:val="6"/>
        </w:numPr>
        <w:ind w:left="567" w:hanging="283"/>
        <w:jc w:val="both"/>
        <w:rPr>
          <w:rFonts w:ascii="Verdana" w:hAnsi="Verdana"/>
          <w:b/>
          <w:bCs/>
          <w:sz w:val="20"/>
          <w:szCs w:val="20"/>
        </w:rPr>
      </w:pPr>
      <w:r>
        <w:rPr>
          <w:rFonts w:ascii="Verdana" w:hAnsi="Verdana"/>
          <w:b/>
          <w:bCs/>
          <w:sz w:val="20"/>
          <w:szCs w:val="20"/>
        </w:rPr>
        <w:t>Pruebas de estrés</w:t>
      </w:r>
    </w:p>
    <w:p w14:paraId="6A14625E" w14:textId="36B3388F" w:rsidR="00EB4BE9" w:rsidRPr="0086035E" w:rsidRDefault="00EB4BE9" w:rsidP="00766CA6">
      <w:pPr>
        <w:spacing w:after="0"/>
        <w:jc w:val="both"/>
        <w:rPr>
          <w:rFonts w:ascii="Verdana" w:hAnsi="Verdana"/>
          <w:sz w:val="20"/>
          <w:szCs w:val="20"/>
        </w:rPr>
      </w:pPr>
      <w:r w:rsidRPr="003F3D3E">
        <w:rPr>
          <w:rFonts w:ascii="Verdana" w:hAnsi="Verdana"/>
          <w:sz w:val="20"/>
          <w:szCs w:val="20"/>
        </w:rPr>
        <w:t>1</w:t>
      </w:r>
      <w:r w:rsidRPr="0086035E">
        <w:rPr>
          <w:rFonts w:ascii="Verdana" w:hAnsi="Verdana"/>
          <w:sz w:val="20"/>
          <w:szCs w:val="20"/>
        </w:rPr>
        <w:t>.1.</w:t>
      </w:r>
      <w:r>
        <w:rPr>
          <w:rFonts w:ascii="Verdana" w:hAnsi="Verdana"/>
          <w:sz w:val="20"/>
          <w:szCs w:val="20"/>
        </w:rPr>
        <w:t>2</w:t>
      </w:r>
      <w:r w:rsidRPr="0086035E">
        <w:rPr>
          <w:rFonts w:ascii="Verdana" w:hAnsi="Verdana"/>
          <w:sz w:val="20"/>
          <w:szCs w:val="20"/>
        </w:rPr>
        <w:t>.</w:t>
      </w:r>
      <w:r>
        <w:rPr>
          <w:rFonts w:ascii="Verdana" w:hAnsi="Verdana"/>
          <w:sz w:val="20"/>
          <w:szCs w:val="20"/>
        </w:rPr>
        <w:t>9</w:t>
      </w:r>
      <w:r w:rsidR="00CC07F5">
        <w:rPr>
          <w:rFonts w:ascii="Verdana" w:hAnsi="Verdana"/>
          <w:sz w:val="20"/>
          <w:szCs w:val="20"/>
        </w:rPr>
        <w:t>9</w:t>
      </w:r>
      <w:r w:rsidRPr="0086035E">
        <w:rPr>
          <w:rFonts w:ascii="Verdana" w:hAnsi="Verdana"/>
          <w:sz w:val="20"/>
          <w:szCs w:val="20"/>
        </w:rPr>
        <w:t>.</w:t>
      </w:r>
    </w:p>
    <w:p w14:paraId="04155B15" w14:textId="77777777" w:rsidR="00CC07F5" w:rsidRPr="000209E8" w:rsidRDefault="00EB4BE9" w:rsidP="00766CA6">
      <w:pPr>
        <w:jc w:val="both"/>
        <w:rPr>
          <w:rFonts w:ascii="Verdana" w:hAnsi="Verdana"/>
          <w:sz w:val="20"/>
          <w:szCs w:val="20"/>
        </w:rPr>
      </w:pPr>
      <w:r w:rsidRPr="00EB4BE9">
        <w:rPr>
          <w:rFonts w:ascii="Verdana" w:hAnsi="Verdana"/>
          <w:sz w:val="20"/>
          <w:szCs w:val="20"/>
        </w:rPr>
        <w:t>Dentro del desarrollo normal del negocio la entidad debe realizar pruebas de estrés que le permitan evaluar su capacidad de absorber pérdidas en escenarios adversos de mercado que afecten el valor de sus portafolios. Dichas pruebas deben contemplar escenarios extremos para cada uno de los factores de riesgo con el propósito de cuantificar en diferentes horizontes de tiempo y en función del tipo de posición asumida, el posible impacto que podría generar la materialización de los riesgos de mercado sobre el nivel de exposición al riesgo, el capital y las utilidades de la entidad. En el caso en que se presenten cambios estructurales en el mercado que no estén reflejados adecuadamente en las series históricas empleadas, las pruebas deben contemplar estos movimientos en los factores de riesgo</w:t>
      </w:r>
      <w:r w:rsidR="00CC07F5" w:rsidRPr="00E70D37">
        <w:rPr>
          <w:rFonts w:ascii="Verdana" w:hAnsi="Verdana"/>
          <w:sz w:val="20"/>
          <w:szCs w:val="20"/>
        </w:rPr>
        <w:t>.</w:t>
      </w:r>
      <w:r w:rsidR="00CC07F5" w:rsidRPr="003D75F5">
        <w:rPr>
          <w:rFonts w:ascii="Verdana" w:hAnsi="Verdana"/>
          <w:sz w:val="20"/>
          <w:szCs w:val="20"/>
        </w:rPr>
        <w:t xml:space="preserve"> </w:t>
      </w:r>
    </w:p>
    <w:p w14:paraId="4253DCA4" w14:textId="01809A7F" w:rsidR="00CC07F5" w:rsidRPr="0086035E" w:rsidRDefault="00CC07F5" w:rsidP="00766CA6">
      <w:pPr>
        <w:spacing w:after="0"/>
        <w:jc w:val="both"/>
        <w:rPr>
          <w:rFonts w:ascii="Verdana" w:hAnsi="Verdana"/>
          <w:sz w:val="20"/>
          <w:szCs w:val="20"/>
        </w:rPr>
      </w:pPr>
      <w:r w:rsidRPr="003F3D3E">
        <w:rPr>
          <w:rFonts w:ascii="Verdana" w:hAnsi="Verdana"/>
          <w:sz w:val="20"/>
          <w:szCs w:val="20"/>
        </w:rPr>
        <w:t>1</w:t>
      </w:r>
      <w:r w:rsidRPr="0086035E">
        <w:rPr>
          <w:rFonts w:ascii="Verdana" w:hAnsi="Verdana"/>
          <w:sz w:val="20"/>
          <w:szCs w:val="20"/>
        </w:rPr>
        <w:t>.1.</w:t>
      </w:r>
      <w:r>
        <w:rPr>
          <w:rFonts w:ascii="Verdana" w:hAnsi="Verdana"/>
          <w:sz w:val="20"/>
          <w:szCs w:val="20"/>
        </w:rPr>
        <w:t>2</w:t>
      </w:r>
      <w:r w:rsidRPr="0086035E">
        <w:rPr>
          <w:rFonts w:ascii="Verdana" w:hAnsi="Verdana"/>
          <w:sz w:val="20"/>
          <w:szCs w:val="20"/>
        </w:rPr>
        <w:t>.</w:t>
      </w:r>
      <w:r>
        <w:rPr>
          <w:rFonts w:ascii="Verdana" w:hAnsi="Verdana"/>
          <w:sz w:val="20"/>
          <w:szCs w:val="20"/>
        </w:rPr>
        <w:t>100</w:t>
      </w:r>
      <w:r w:rsidRPr="0086035E">
        <w:rPr>
          <w:rFonts w:ascii="Verdana" w:hAnsi="Verdana"/>
          <w:sz w:val="20"/>
          <w:szCs w:val="20"/>
        </w:rPr>
        <w:t>.</w:t>
      </w:r>
    </w:p>
    <w:p w14:paraId="1A0AC983" w14:textId="77777777" w:rsidR="00CC07F5" w:rsidRPr="000209E8" w:rsidRDefault="00CC07F5" w:rsidP="00766CA6">
      <w:pPr>
        <w:jc w:val="both"/>
        <w:rPr>
          <w:rFonts w:ascii="Verdana" w:hAnsi="Verdana"/>
          <w:sz w:val="20"/>
          <w:szCs w:val="20"/>
        </w:rPr>
      </w:pPr>
      <w:r w:rsidRPr="00E70D37">
        <w:rPr>
          <w:rFonts w:ascii="Verdana" w:hAnsi="Verdana"/>
          <w:sz w:val="20"/>
          <w:szCs w:val="20"/>
        </w:rPr>
        <w:t>L</w:t>
      </w:r>
      <w:r>
        <w:rPr>
          <w:rFonts w:ascii="Verdana" w:hAnsi="Verdana"/>
          <w:sz w:val="20"/>
          <w:szCs w:val="20"/>
        </w:rPr>
        <w:t>o</w:t>
      </w:r>
      <w:r w:rsidRPr="00E70D37">
        <w:rPr>
          <w:rFonts w:ascii="Verdana" w:hAnsi="Verdana"/>
          <w:sz w:val="20"/>
          <w:szCs w:val="20"/>
        </w:rPr>
        <w:t xml:space="preserve">s </w:t>
      </w:r>
      <w:r w:rsidR="00EB4BE9" w:rsidRPr="00EB4BE9">
        <w:rPr>
          <w:rFonts w:ascii="Verdana" w:hAnsi="Verdana"/>
          <w:sz w:val="20"/>
          <w:szCs w:val="20"/>
        </w:rPr>
        <w:t>modelos diseñados e implementados deben ser estadísticamente robustos y ser un insumo en la toma de decisiones sobre la gestión de riesgos. Adicionalmente, los resultados de las pruebas deben servir para generar indicadores que activen el correspondiente plan de contingencia</w:t>
      </w:r>
      <w:r w:rsidRPr="00E70D37">
        <w:rPr>
          <w:rFonts w:ascii="Verdana" w:hAnsi="Verdana"/>
          <w:sz w:val="20"/>
          <w:szCs w:val="20"/>
        </w:rPr>
        <w:t>.</w:t>
      </w:r>
      <w:r w:rsidRPr="003D75F5">
        <w:rPr>
          <w:rFonts w:ascii="Verdana" w:hAnsi="Verdana"/>
          <w:sz w:val="20"/>
          <w:szCs w:val="20"/>
        </w:rPr>
        <w:t xml:space="preserve"> </w:t>
      </w:r>
    </w:p>
    <w:p w14:paraId="2AE1660E" w14:textId="3DB3AC30" w:rsidR="00CC07F5" w:rsidRPr="0086035E" w:rsidRDefault="00CC07F5" w:rsidP="00766CA6">
      <w:pPr>
        <w:spacing w:after="0"/>
        <w:jc w:val="both"/>
        <w:rPr>
          <w:rFonts w:ascii="Verdana" w:hAnsi="Verdana"/>
          <w:sz w:val="20"/>
          <w:szCs w:val="20"/>
        </w:rPr>
      </w:pPr>
      <w:r w:rsidRPr="003F3D3E">
        <w:rPr>
          <w:rFonts w:ascii="Verdana" w:hAnsi="Verdana"/>
          <w:sz w:val="20"/>
          <w:szCs w:val="20"/>
        </w:rPr>
        <w:t>1</w:t>
      </w:r>
      <w:r w:rsidRPr="0086035E">
        <w:rPr>
          <w:rFonts w:ascii="Verdana" w:hAnsi="Verdana"/>
          <w:sz w:val="20"/>
          <w:szCs w:val="20"/>
        </w:rPr>
        <w:t>.1.</w:t>
      </w:r>
      <w:r>
        <w:rPr>
          <w:rFonts w:ascii="Verdana" w:hAnsi="Verdana"/>
          <w:sz w:val="20"/>
          <w:szCs w:val="20"/>
        </w:rPr>
        <w:t>2</w:t>
      </w:r>
      <w:r w:rsidRPr="0086035E">
        <w:rPr>
          <w:rFonts w:ascii="Verdana" w:hAnsi="Verdana"/>
          <w:sz w:val="20"/>
          <w:szCs w:val="20"/>
        </w:rPr>
        <w:t>.</w:t>
      </w:r>
      <w:r>
        <w:rPr>
          <w:rFonts w:ascii="Verdana" w:hAnsi="Verdana"/>
          <w:sz w:val="20"/>
          <w:szCs w:val="20"/>
        </w:rPr>
        <w:t>101</w:t>
      </w:r>
      <w:r w:rsidRPr="0086035E">
        <w:rPr>
          <w:rFonts w:ascii="Verdana" w:hAnsi="Verdana"/>
          <w:sz w:val="20"/>
          <w:szCs w:val="20"/>
        </w:rPr>
        <w:t>.</w:t>
      </w:r>
    </w:p>
    <w:p w14:paraId="558CA2BB" w14:textId="1483E380" w:rsidR="00EB4BE9" w:rsidRPr="00EB4BE9" w:rsidRDefault="00CC07F5" w:rsidP="00766CA6">
      <w:pPr>
        <w:spacing w:after="0"/>
        <w:jc w:val="both"/>
        <w:rPr>
          <w:rFonts w:ascii="Verdana" w:hAnsi="Verdana"/>
          <w:sz w:val="20"/>
          <w:szCs w:val="20"/>
        </w:rPr>
      </w:pPr>
      <w:r w:rsidRPr="00E70D37">
        <w:rPr>
          <w:rFonts w:ascii="Verdana" w:hAnsi="Verdana"/>
          <w:sz w:val="20"/>
          <w:szCs w:val="20"/>
        </w:rPr>
        <w:t xml:space="preserve">La </w:t>
      </w:r>
      <w:r w:rsidR="00EB4BE9" w:rsidRPr="00EB4BE9">
        <w:rPr>
          <w:rFonts w:ascii="Verdana" w:hAnsi="Verdana"/>
          <w:sz w:val="20"/>
          <w:szCs w:val="20"/>
        </w:rPr>
        <w:t>frecuencia de las pruebas de estrés, su revisión y actualización deben ser acorde con el tamaño de la entidad, la importancia relativa dentro del sistema y el nivel de exposición al riesgo de mercado; sin embargo, deben realizarse como mínimo trimestralmente. La entidad debe estar en capacidad de aumentar la periodicidad de las pruebas bajo escenarios especiales como cambios en las condiciones del mercado, de crisis o por requerimiento de la SFC, a quien debe dar a conocer los supuestos, parámetros, análisis, medición y resultados de estas pruebas.</w:t>
      </w:r>
    </w:p>
    <w:p w14:paraId="0F4BBB6D" w14:textId="77777777" w:rsidR="00EB4BE9" w:rsidRPr="00EB4BE9" w:rsidRDefault="00EB4BE9" w:rsidP="00766CA6">
      <w:pPr>
        <w:spacing w:after="0"/>
        <w:jc w:val="both"/>
        <w:rPr>
          <w:rFonts w:ascii="Verdana" w:hAnsi="Verdana"/>
          <w:sz w:val="20"/>
          <w:szCs w:val="20"/>
        </w:rPr>
      </w:pPr>
    </w:p>
    <w:p w14:paraId="4D6A7ECD" w14:textId="30E1942B" w:rsidR="00AF1BE7" w:rsidRPr="0086035E" w:rsidRDefault="00AF1BE7" w:rsidP="00766CA6">
      <w:pPr>
        <w:spacing w:after="0"/>
        <w:jc w:val="both"/>
        <w:rPr>
          <w:rFonts w:ascii="Verdana" w:hAnsi="Verdana"/>
          <w:sz w:val="20"/>
          <w:szCs w:val="20"/>
        </w:rPr>
      </w:pPr>
      <w:r w:rsidRPr="003F3D3E">
        <w:rPr>
          <w:rFonts w:ascii="Verdana" w:hAnsi="Verdana"/>
          <w:sz w:val="20"/>
          <w:szCs w:val="20"/>
        </w:rPr>
        <w:t>1</w:t>
      </w:r>
      <w:r w:rsidRPr="0086035E">
        <w:rPr>
          <w:rFonts w:ascii="Verdana" w:hAnsi="Verdana"/>
          <w:sz w:val="20"/>
          <w:szCs w:val="20"/>
        </w:rPr>
        <w:t>.1.</w:t>
      </w:r>
      <w:r>
        <w:rPr>
          <w:rFonts w:ascii="Verdana" w:hAnsi="Verdana"/>
          <w:sz w:val="20"/>
          <w:szCs w:val="20"/>
        </w:rPr>
        <w:t>2</w:t>
      </w:r>
      <w:r w:rsidRPr="0086035E">
        <w:rPr>
          <w:rFonts w:ascii="Verdana" w:hAnsi="Verdana"/>
          <w:sz w:val="20"/>
          <w:szCs w:val="20"/>
        </w:rPr>
        <w:t>.</w:t>
      </w:r>
      <w:r>
        <w:rPr>
          <w:rFonts w:ascii="Verdana" w:hAnsi="Verdana"/>
          <w:sz w:val="20"/>
          <w:szCs w:val="20"/>
        </w:rPr>
        <w:t>102</w:t>
      </w:r>
      <w:r w:rsidRPr="0086035E">
        <w:rPr>
          <w:rFonts w:ascii="Verdana" w:hAnsi="Verdana"/>
          <w:sz w:val="20"/>
          <w:szCs w:val="20"/>
        </w:rPr>
        <w:t>.</w:t>
      </w:r>
    </w:p>
    <w:p w14:paraId="7C309001" w14:textId="30A04714" w:rsidR="00F76065" w:rsidRDefault="00EB4BE9" w:rsidP="00766CA6">
      <w:pPr>
        <w:spacing w:after="0"/>
        <w:jc w:val="both"/>
        <w:rPr>
          <w:rFonts w:ascii="Verdana" w:hAnsi="Verdana"/>
          <w:sz w:val="20"/>
          <w:szCs w:val="20"/>
        </w:rPr>
      </w:pPr>
      <w:r w:rsidRPr="00EB4BE9">
        <w:rPr>
          <w:rFonts w:ascii="Verdana" w:hAnsi="Verdana"/>
          <w:sz w:val="20"/>
          <w:szCs w:val="20"/>
        </w:rPr>
        <w:t>En todo caso, los resultados de las pruebas de estrés realizadas por la entidad deben estar a disposición de la SFC para su consulta en cualquier momento.</w:t>
      </w:r>
    </w:p>
    <w:p w14:paraId="449099E3" w14:textId="77777777" w:rsidR="00F76065" w:rsidRDefault="00F76065" w:rsidP="00766CA6">
      <w:pPr>
        <w:spacing w:after="0"/>
        <w:jc w:val="both"/>
        <w:rPr>
          <w:rFonts w:ascii="Verdana" w:hAnsi="Verdana"/>
          <w:sz w:val="20"/>
          <w:szCs w:val="20"/>
        </w:rPr>
      </w:pPr>
    </w:p>
    <w:p w14:paraId="6E11737E" w14:textId="31802436" w:rsidR="00F76065" w:rsidRPr="00732E97" w:rsidRDefault="00965E31"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Control</w:t>
      </w:r>
    </w:p>
    <w:p w14:paraId="2E888FCD" w14:textId="20DC9EBC" w:rsidR="00F76065" w:rsidRPr="0086035E" w:rsidRDefault="00F76065"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103</w:t>
      </w:r>
      <w:r w:rsidRPr="0086035E">
        <w:rPr>
          <w:rFonts w:ascii="Verdana" w:hAnsi="Verdana"/>
          <w:sz w:val="20"/>
          <w:szCs w:val="20"/>
        </w:rPr>
        <w:t>.</w:t>
      </w:r>
    </w:p>
    <w:p w14:paraId="364E5A03" w14:textId="35B341CE" w:rsidR="00965E31" w:rsidRPr="00965E31" w:rsidRDefault="00965E31" w:rsidP="00766CA6">
      <w:pPr>
        <w:spacing w:after="0"/>
        <w:jc w:val="both"/>
        <w:rPr>
          <w:rFonts w:ascii="Verdana" w:hAnsi="Verdana"/>
          <w:sz w:val="20"/>
          <w:szCs w:val="20"/>
        </w:rPr>
      </w:pPr>
      <w:r w:rsidRPr="00965E31">
        <w:rPr>
          <w:rFonts w:ascii="Verdana" w:hAnsi="Verdana"/>
          <w:sz w:val="20"/>
          <w:szCs w:val="20"/>
        </w:rPr>
        <w:t>La entidad debe diseñar y adoptar las medidas conducentes a controlar el riesgo de mercado al que se ve expuesta en el desarrollo de sus operaciones.</w:t>
      </w:r>
    </w:p>
    <w:p w14:paraId="76DFE527" w14:textId="77777777" w:rsidR="00965E31" w:rsidRDefault="00965E31" w:rsidP="00766CA6">
      <w:pPr>
        <w:spacing w:after="0"/>
        <w:jc w:val="both"/>
        <w:rPr>
          <w:rFonts w:ascii="Verdana" w:hAnsi="Verdana"/>
          <w:sz w:val="20"/>
          <w:szCs w:val="20"/>
        </w:rPr>
      </w:pPr>
    </w:p>
    <w:p w14:paraId="1189632B" w14:textId="5B636E45" w:rsidR="00221E1E" w:rsidRPr="0086035E" w:rsidRDefault="00221E1E"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104</w:t>
      </w:r>
      <w:r w:rsidRPr="0086035E">
        <w:rPr>
          <w:rFonts w:ascii="Verdana" w:hAnsi="Verdana"/>
          <w:sz w:val="20"/>
          <w:szCs w:val="20"/>
        </w:rPr>
        <w:t>.</w:t>
      </w:r>
    </w:p>
    <w:p w14:paraId="0666EEA0" w14:textId="77777777" w:rsidR="00965E31" w:rsidRPr="00965E31" w:rsidRDefault="00965E31" w:rsidP="00766CA6">
      <w:pPr>
        <w:spacing w:after="0"/>
        <w:jc w:val="both"/>
        <w:rPr>
          <w:rFonts w:ascii="Verdana" w:hAnsi="Verdana"/>
          <w:sz w:val="20"/>
          <w:szCs w:val="20"/>
        </w:rPr>
      </w:pPr>
      <w:r w:rsidRPr="00965E31">
        <w:rPr>
          <w:rFonts w:ascii="Verdana" w:hAnsi="Verdana"/>
          <w:sz w:val="20"/>
          <w:szCs w:val="20"/>
        </w:rPr>
        <w:t>El control del riesgo de mercado debe como mínimo cumplir con los siguientes requisitos:</w:t>
      </w:r>
    </w:p>
    <w:p w14:paraId="35DD2181" w14:textId="77777777" w:rsidR="00965E31" w:rsidRPr="00965E31" w:rsidRDefault="00965E31" w:rsidP="00766CA6">
      <w:pPr>
        <w:spacing w:after="0"/>
        <w:jc w:val="both"/>
        <w:rPr>
          <w:rFonts w:ascii="Verdana" w:hAnsi="Verdana"/>
          <w:sz w:val="20"/>
          <w:szCs w:val="20"/>
        </w:rPr>
      </w:pPr>
    </w:p>
    <w:p w14:paraId="40811553" w14:textId="77777777" w:rsidR="00221E1E" w:rsidRDefault="00965E31" w:rsidP="00766CA6">
      <w:pPr>
        <w:pStyle w:val="Prrafodelista"/>
        <w:numPr>
          <w:ilvl w:val="0"/>
          <w:numId w:val="39"/>
        </w:numPr>
        <w:spacing w:after="0"/>
        <w:ind w:left="567" w:hanging="567"/>
        <w:jc w:val="both"/>
        <w:rPr>
          <w:rFonts w:ascii="Verdana" w:hAnsi="Verdana"/>
          <w:sz w:val="20"/>
          <w:szCs w:val="20"/>
        </w:rPr>
      </w:pPr>
      <w:r w:rsidRPr="00221E1E">
        <w:rPr>
          <w:rFonts w:ascii="Verdana" w:hAnsi="Verdana"/>
          <w:sz w:val="20"/>
          <w:szCs w:val="20"/>
        </w:rPr>
        <w:t>Ser proporcional con el volumen y complejidad de las operaciones desarrolladas por la entidad, de forma tal que se guarde correspondencia entre el modelo, las operaciones desarrolladas.</w:t>
      </w:r>
    </w:p>
    <w:p w14:paraId="4EAE9F7E" w14:textId="77777777" w:rsidR="00221E1E" w:rsidRDefault="00221E1E" w:rsidP="00766CA6">
      <w:pPr>
        <w:pStyle w:val="Prrafodelista"/>
        <w:spacing w:after="0"/>
        <w:ind w:left="567"/>
        <w:jc w:val="both"/>
        <w:rPr>
          <w:rFonts w:ascii="Verdana" w:hAnsi="Verdana"/>
          <w:sz w:val="20"/>
          <w:szCs w:val="20"/>
        </w:rPr>
      </w:pPr>
    </w:p>
    <w:p w14:paraId="5D584F58" w14:textId="77777777" w:rsidR="00221E1E" w:rsidRDefault="00965E31" w:rsidP="00766CA6">
      <w:pPr>
        <w:pStyle w:val="Prrafodelista"/>
        <w:numPr>
          <w:ilvl w:val="0"/>
          <w:numId w:val="39"/>
        </w:numPr>
        <w:spacing w:after="0"/>
        <w:ind w:left="567" w:hanging="567"/>
        <w:jc w:val="both"/>
        <w:rPr>
          <w:rFonts w:ascii="Verdana" w:hAnsi="Verdana"/>
          <w:sz w:val="20"/>
          <w:szCs w:val="20"/>
        </w:rPr>
      </w:pPr>
      <w:r w:rsidRPr="00221E1E">
        <w:rPr>
          <w:rFonts w:ascii="Verdana" w:hAnsi="Verdana"/>
          <w:sz w:val="20"/>
          <w:szCs w:val="20"/>
        </w:rPr>
        <w:t xml:space="preserve">Permitir el control de los niveles de exposición al riesgo de mercado y los límites generales establecidos por la entidad, así como los límites especiales determinados para la actividad de tesorería a nivel de </w:t>
      </w:r>
      <w:proofErr w:type="spellStart"/>
      <w:r w:rsidRPr="008F533F">
        <w:rPr>
          <w:rFonts w:ascii="Verdana" w:hAnsi="Verdana"/>
          <w:i/>
          <w:iCs/>
          <w:sz w:val="20"/>
          <w:szCs w:val="20"/>
        </w:rPr>
        <w:t>trader</w:t>
      </w:r>
      <w:proofErr w:type="spellEnd"/>
      <w:r w:rsidRPr="00221E1E">
        <w:rPr>
          <w:rFonts w:ascii="Verdana" w:hAnsi="Verdana"/>
          <w:sz w:val="20"/>
          <w:szCs w:val="20"/>
        </w:rPr>
        <w:t>, mesa de negociación y producto. Lo anterior de acuerdo con la estructura, características y operaciones autorizadas para cada tipo de entidad.</w:t>
      </w:r>
    </w:p>
    <w:p w14:paraId="1FE8C31B" w14:textId="77777777" w:rsidR="00221E1E" w:rsidRPr="00221E1E" w:rsidRDefault="00221E1E" w:rsidP="00766CA6">
      <w:pPr>
        <w:pStyle w:val="Prrafodelista"/>
        <w:jc w:val="both"/>
        <w:rPr>
          <w:rFonts w:ascii="Verdana" w:hAnsi="Verdana"/>
          <w:sz w:val="20"/>
          <w:szCs w:val="20"/>
        </w:rPr>
      </w:pPr>
    </w:p>
    <w:p w14:paraId="4CFC103B" w14:textId="77777777" w:rsidR="00407318" w:rsidRDefault="00965E31" w:rsidP="00766CA6">
      <w:pPr>
        <w:pStyle w:val="Prrafodelista"/>
        <w:numPr>
          <w:ilvl w:val="0"/>
          <w:numId w:val="39"/>
        </w:numPr>
        <w:spacing w:after="0"/>
        <w:ind w:left="567" w:hanging="567"/>
        <w:jc w:val="both"/>
        <w:rPr>
          <w:rFonts w:ascii="Verdana" w:hAnsi="Verdana"/>
          <w:sz w:val="20"/>
          <w:szCs w:val="20"/>
        </w:rPr>
      </w:pPr>
      <w:r w:rsidRPr="00221E1E">
        <w:rPr>
          <w:rFonts w:ascii="Verdana" w:hAnsi="Verdana"/>
          <w:sz w:val="20"/>
          <w:szCs w:val="20"/>
        </w:rPr>
        <w:t>Permitir el control de los límites y niveles de exposición al riesgo de mercado consolidado por factores o módulos de riesgos, según aplique.</w:t>
      </w:r>
    </w:p>
    <w:p w14:paraId="7D079460" w14:textId="77777777" w:rsidR="00407318" w:rsidRPr="00407318" w:rsidRDefault="00407318" w:rsidP="00766CA6">
      <w:pPr>
        <w:pStyle w:val="Prrafodelista"/>
        <w:jc w:val="both"/>
        <w:rPr>
          <w:rFonts w:ascii="Verdana" w:hAnsi="Verdana"/>
          <w:sz w:val="20"/>
          <w:szCs w:val="20"/>
        </w:rPr>
      </w:pPr>
    </w:p>
    <w:p w14:paraId="36521F37" w14:textId="77777777" w:rsidR="00407318" w:rsidRDefault="00965E31" w:rsidP="00766CA6">
      <w:pPr>
        <w:pStyle w:val="Prrafodelista"/>
        <w:numPr>
          <w:ilvl w:val="0"/>
          <w:numId w:val="39"/>
        </w:numPr>
        <w:spacing w:after="0"/>
        <w:ind w:left="567" w:hanging="567"/>
        <w:jc w:val="both"/>
        <w:rPr>
          <w:rFonts w:ascii="Verdana" w:hAnsi="Verdana"/>
          <w:sz w:val="20"/>
          <w:szCs w:val="20"/>
        </w:rPr>
      </w:pPr>
      <w:r w:rsidRPr="00407318">
        <w:rPr>
          <w:rFonts w:ascii="Verdana" w:hAnsi="Verdana"/>
          <w:sz w:val="20"/>
          <w:szCs w:val="20"/>
        </w:rPr>
        <w:t>Considerar la estrategia y apetito de riesgo de la entidad, las prácticas generales de transacción y las condiciones de las economías y mercados en donde opera la entidad.</w:t>
      </w:r>
    </w:p>
    <w:p w14:paraId="0784617E" w14:textId="77777777" w:rsidR="00407318" w:rsidRPr="00407318" w:rsidRDefault="00407318" w:rsidP="00766CA6">
      <w:pPr>
        <w:pStyle w:val="Prrafodelista"/>
        <w:jc w:val="both"/>
        <w:rPr>
          <w:rFonts w:ascii="Verdana" w:hAnsi="Verdana"/>
          <w:sz w:val="20"/>
          <w:szCs w:val="20"/>
        </w:rPr>
      </w:pPr>
    </w:p>
    <w:p w14:paraId="11B9ADA7" w14:textId="77777777" w:rsidR="00407318" w:rsidRDefault="00965E31" w:rsidP="00766CA6">
      <w:pPr>
        <w:pStyle w:val="Prrafodelista"/>
        <w:numPr>
          <w:ilvl w:val="0"/>
          <w:numId w:val="39"/>
        </w:numPr>
        <w:spacing w:after="0"/>
        <w:ind w:left="567" w:hanging="567"/>
        <w:jc w:val="both"/>
        <w:rPr>
          <w:rFonts w:ascii="Verdana" w:hAnsi="Verdana"/>
          <w:sz w:val="20"/>
          <w:szCs w:val="20"/>
        </w:rPr>
      </w:pPr>
      <w:r w:rsidRPr="00407318">
        <w:rPr>
          <w:rFonts w:ascii="Verdana" w:hAnsi="Verdana"/>
          <w:sz w:val="20"/>
          <w:szCs w:val="20"/>
        </w:rPr>
        <w:t xml:space="preserve">Implementar mecanismos que permitan realizar el registro de las órdenes y operaciones efectuadas vía telefónica o mediante cualquier otro sistema de comunicación. Estas operaciones deben ser soportadas previo cumplimiento de los </w:t>
      </w:r>
      <w:r w:rsidRPr="00407318">
        <w:rPr>
          <w:rFonts w:ascii="Verdana" w:hAnsi="Verdana"/>
          <w:sz w:val="20"/>
          <w:szCs w:val="20"/>
        </w:rPr>
        <w:lastRenderedPageBreak/>
        <w:t>requisitos legales existentes. En todo caso, dentro del área de negociación la entidad no debe permitir que se adelanten conversaciones u acciones relacionadas con la actividad de asesoría o intermediación de valores a través de sistemas de comunicación que no permitan registrar y/o consultar las llamadas y los mensajes enviados y/o recibidos con el fin de constatar el registro de la operación y las condiciones del negocio.</w:t>
      </w:r>
    </w:p>
    <w:p w14:paraId="1B47A1C2" w14:textId="77777777" w:rsidR="00407318" w:rsidRPr="00407318" w:rsidRDefault="00407318" w:rsidP="00766CA6">
      <w:pPr>
        <w:pStyle w:val="Prrafodelista"/>
        <w:jc w:val="both"/>
        <w:rPr>
          <w:rFonts w:ascii="Verdana" w:hAnsi="Verdana"/>
          <w:sz w:val="20"/>
          <w:szCs w:val="20"/>
        </w:rPr>
      </w:pPr>
    </w:p>
    <w:p w14:paraId="177CA02F" w14:textId="77777777" w:rsidR="00407318" w:rsidRDefault="00965E31" w:rsidP="00766CA6">
      <w:pPr>
        <w:pStyle w:val="Prrafodelista"/>
        <w:numPr>
          <w:ilvl w:val="0"/>
          <w:numId w:val="39"/>
        </w:numPr>
        <w:spacing w:after="0"/>
        <w:ind w:left="567" w:hanging="567"/>
        <w:jc w:val="both"/>
        <w:rPr>
          <w:rFonts w:ascii="Verdana" w:hAnsi="Verdana"/>
          <w:sz w:val="20"/>
          <w:szCs w:val="20"/>
        </w:rPr>
      </w:pPr>
      <w:r w:rsidRPr="00407318">
        <w:rPr>
          <w:rFonts w:ascii="Verdana" w:hAnsi="Verdana"/>
          <w:sz w:val="20"/>
          <w:szCs w:val="20"/>
        </w:rPr>
        <w:t>Implementar el registro adecuado e individual de las órdenes y operaciones realizadas por la entidad con la constancia de las condiciones y términos del negocio, incluyendo aspectos como la hora de la negociación, la contraparte, siempre que el sistema de negociación de valores así lo permita, el monto, la tasa pactada y el plazo, entre otros. La entidad debe conservar los registros correspondientes por los plazos establecidos de manera general en la Ley.</w:t>
      </w:r>
    </w:p>
    <w:p w14:paraId="2319DA35" w14:textId="77777777" w:rsidR="00407318" w:rsidRPr="00407318" w:rsidRDefault="00407318" w:rsidP="00766CA6">
      <w:pPr>
        <w:pStyle w:val="Prrafodelista"/>
        <w:jc w:val="both"/>
        <w:rPr>
          <w:rFonts w:ascii="Verdana" w:hAnsi="Verdana"/>
          <w:sz w:val="20"/>
          <w:szCs w:val="20"/>
        </w:rPr>
      </w:pPr>
    </w:p>
    <w:p w14:paraId="0E34F472" w14:textId="77777777" w:rsidR="00407318" w:rsidRDefault="00965E31" w:rsidP="00766CA6">
      <w:pPr>
        <w:pStyle w:val="Prrafodelista"/>
        <w:numPr>
          <w:ilvl w:val="0"/>
          <w:numId w:val="39"/>
        </w:numPr>
        <w:spacing w:after="0"/>
        <w:ind w:left="567" w:hanging="567"/>
        <w:jc w:val="both"/>
        <w:rPr>
          <w:rFonts w:ascii="Verdana" w:hAnsi="Verdana"/>
          <w:sz w:val="20"/>
          <w:szCs w:val="20"/>
        </w:rPr>
      </w:pPr>
      <w:r w:rsidRPr="00407318">
        <w:rPr>
          <w:rFonts w:ascii="Verdana" w:hAnsi="Verdana"/>
          <w:sz w:val="20"/>
          <w:szCs w:val="20"/>
        </w:rPr>
        <w:t xml:space="preserve">Grabar la totalidad de comunicaciones y tener registro confiable de los mensajes de datos que se utilicen para la realización de operaciones de intermediación de valores y divisas, así como para las operaciones con instrumentos financieros derivados y productos estructurados del </w:t>
      </w:r>
      <w:proofErr w:type="spellStart"/>
      <w:r w:rsidRPr="000A30B6">
        <w:rPr>
          <w:rFonts w:ascii="Verdana" w:hAnsi="Verdana"/>
          <w:i/>
          <w:iCs/>
          <w:sz w:val="20"/>
          <w:szCs w:val="20"/>
        </w:rPr>
        <w:t>front</w:t>
      </w:r>
      <w:proofErr w:type="spellEnd"/>
      <w:r w:rsidRPr="00407318">
        <w:rPr>
          <w:rFonts w:ascii="Verdana" w:hAnsi="Verdana"/>
          <w:sz w:val="20"/>
          <w:szCs w:val="20"/>
        </w:rPr>
        <w:t xml:space="preserve">, </w:t>
      </w:r>
      <w:proofErr w:type="spellStart"/>
      <w:r w:rsidRPr="000A30B6">
        <w:rPr>
          <w:rFonts w:ascii="Verdana" w:hAnsi="Verdana"/>
          <w:i/>
          <w:iCs/>
          <w:sz w:val="20"/>
          <w:szCs w:val="20"/>
        </w:rPr>
        <w:t>middle</w:t>
      </w:r>
      <w:proofErr w:type="spellEnd"/>
      <w:r w:rsidRPr="00407318">
        <w:rPr>
          <w:rFonts w:ascii="Verdana" w:hAnsi="Verdana"/>
          <w:sz w:val="20"/>
          <w:szCs w:val="20"/>
        </w:rPr>
        <w:t xml:space="preserve"> y </w:t>
      </w:r>
      <w:r w:rsidRPr="000A30B6">
        <w:rPr>
          <w:rFonts w:ascii="Verdana" w:hAnsi="Verdana"/>
          <w:i/>
          <w:iCs/>
          <w:sz w:val="20"/>
          <w:szCs w:val="20"/>
        </w:rPr>
        <w:t>back office</w:t>
      </w:r>
      <w:r w:rsidRPr="00407318">
        <w:rPr>
          <w:rFonts w:ascii="Verdana" w:hAnsi="Verdana"/>
          <w:sz w:val="20"/>
          <w:szCs w:val="20"/>
        </w:rPr>
        <w:t>, con el fin de garantizar que todas las transacciones realizadas por cuenta propia o por cuenta de terceros, puedan ser reconstruidas desde el momento en que se imparten las órdenes de compra o venta, la ejecución de las mismas y su correspondiente compensación y liquidación, conforme a las reglas vigentes.</w:t>
      </w:r>
    </w:p>
    <w:p w14:paraId="20926506" w14:textId="77777777" w:rsidR="00407318" w:rsidRPr="00407318" w:rsidRDefault="00407318" w:rsidP="00766CA6">
      <w:pPr>
        <w:pStyle w:val="Prrafodelista"/>
        <w:jc w:val="both"/>
        <w:rPr>
          <w:rFonts w:ascii="Verdana" w:hAnsi="Verdana"/>
          <w:sz w:val="20"/>
          <w:szCs w:val="20"/>
        </w:rPr>
      </w:pPr>
    </w:p>
    <w:p w14:paraId="6A97F4CC" w14:textId="77777777" w:rsidR="00407318" w:rsidRDefault="00965E31" w:rsidP="00766CA6">
      <w:pPr>
        <w:pStyle w:val="Prrafodelista"/>
        <w:numPr>
          <w:ilvl w:val="0"/>
          <w:numId w:val="39"/>
        </w:numPr>
        <w:spacing w:after="0"/>
        <w:ind w:left="567" w:hanging="567"/>
        <w:jc w:val="both"/>
        <w:rPr>
          <w:rFonts w:ascii="Verdana" w:hAnsi="Verdana"/>
          <w:sz w:val="20"/>
          <w:szCs w:val="20"/>
        </w:rPr>
      </w:pPr>
      <w:r w:rsidRPr="00407318">
        <w:rPr>
          <w:rFonts w:ascii="Verdana" w:hAnsi="Verdana"/>
          <w:sz w:val="20"/>
          <w:szCs w:val="20"/>
        </w:rPr>
        <w:t>Garantizar una estricta independencia organizacional y funcional entre las áreas que desarrollan operaciones por cuenta de terceros, las que administran portafolios de terceros, las que administran fondos de inversión colectiva y en general, garantizar la independencia entre actividades autorizadas cuando ello haya sido previsto en la normatividad aplicable.</w:t>
      </w:r>
    </w:p>
    <w:p w14:paraId="629736D6" w14:textId="77777777" w:rsidR="00407318" w:rsidRPr="00407318" w:rsidRDefault="00407318" w:rsidP="00766CA6">
      <w:pPr>
        <w:pStyle w:val="Prrafodelista"/>
        <w:jc w:val="both"/>
        <w:rPr>
          <w:rFonts w:ascii="Verdana" w:hAnsi="Verdana"/>
          <w:sz w:val="20"/>
          <w:szCs w:val="20"/>
        </w:rPr>
      </w:pPr>
    </w:p>
    <w:p w14:paraId="1B3C90A7" w14:textId="199E57B8" w:rsidR="00965E31" w:rsidRPr="00407318" w:rsidRDefault="00965E31" w:rsidP="00766CA6">
      <w:pPr>
        <w:pStyle w:val="Prrafodelista"/>
        <w:numPr>
          <w:ilvl w:val="0"/>
          <w:numId w:val="39"/>
        </w:numPr>
        <w:spacing w:after="0"/>
        <w:ind w:left="567" w:hanging="567"/>
        <w:jc w:val="both"/>
        <w:rPr>
          <w:rFonts w:ascii="Verdana" w:hAnsi="Verdana"/>
          <w:sz w:val="20"/>
          <w:szCs w:val="20"/>
        </w:rPr>
      </w:pPr>
      <w:r w:rsidRPr="00407318">
        <w:rPr>
          <w:rFonts w:ascii="Verdana" w:hAnsi="Verdana"/>
          <w:sz w:val="20"/>
          <w:szCs w:val="20"/>
        </w:rPr>
        <w:t>En el caso de las SCBV:</w:t>
      </w:r>
    </w:p>
    <w:p w14:paraId="6F80C60A" w14:textId="77777777" w:rsidR="003F17AB" w:rsidRPr="00407318" w:rsidRDefault="003F17AB" w:rsidP="00554F01">
      <w:pPr>
        <w:pStyle w:val="Prrafodelista"/>
        <w:spacing w:after="0"/>
        <w:ind w:left="567"/>
        <w:jc w:val="both"/>
        <w:rPr>
          <w:rFonts w:ascii="Verdana" w:hAnsi="Verdana"/>
          <w:sz w:val="20"/>
          <w:szCs w:val="20"/>
        </w:rPr>
      </w:pPr>
    </w:p>
    <w:p w14:paraId="24D1377D" w14:textId="7F511063" w:rsidR="000F7621" w:rsidRDefault="00965E31" w:rsidP="000F7621">
      <w:pPr>
        <w:pStyle w:val="Prrafodelista"/>
        <w:numPr>
          <w:ilvl w:val="0"/>
          <w:numId w:val="101"/>
        </w:numPr>
        <w:spacing w:after="0"/>
        <w:jc w:val="both"/>
        <w:rPr>
          <w:rFonts w:ascii="Verdana" w:hAnsi="Verdana"/>
          <w:sz w:val="20"/>
          <w:szCs w:val="20"/>
        </w:rPr>
      </w:pPr>
      <w:r w:rsidRPr="00E606CC">
        <w:rPr>
          <w:rFonts w:ascii="Verdana" w:hAnsi="Verdana"/>
          <w:sz w:val="20"/>
          <w:szCs w:val="20"/>
        </w:rPr>
        <w:t>Garantizar que se comunique a la SFC y a las bolsas de valores, dentro del término establecido en las normas vigentes todas aquellas vinculaciones económicas, relaciones contractuales u otras circunstancias que puedan suscitar conflictos de interés.</w:t>
      </w:r>
    </w:p>
    <w:p w14:paraId="4B8D2C33" w14:textId="77777777" w:rsidR="000F7621" w:rsidRPr="00554F01" w:rsidRDefault="000F7621" w:rsidP="00554F01">
      <w:pPr>
        <w:pStyle w:val="Prrafodelista"/>
        <w:spacing w:after="0"/>
        <w:ind w:left="1287"/>
        <w:jc w:val="both"/>
        <w:rPr>
          <w:rFonts w:ascii="Verdana" w:hAnsi="Verdana"/>
          <w:sz w:val="20"/>
          <w:szCs w:val="20"/>
        </w:rPr>
      </w:pPr>
    </w:p>
    <w:p w14:paraId="0C84651A" w14:textId="68D8F011" w:rsidR="008406FE" w:rsidRDefault="00965E31" w:rsidP="00554F01">
      <w:pPr>
        <w:pStyle w:val="Prrafodelista"/>
        <w:numPr>
          <w:ilvl w:val="0"/>
          <w:numId w:val="101"/>
        </w:numPr>
        <w:spacing w:after="0"/>
        <w:jc w:val="both"/>
        <w:rPr>
          <w:rFonts w:ascii="Verdana" w:hAnsi="Verdana"/>
          <w:sz w:val="20"/>
          <w:szCs w:val="20"/>
        </w:rPr>
      </w:pPr>
      <w:r w:rsidRPr="00E606CC">
        <w:rPr>
          <w:rFonts w:ascii="Verdana" w:hAnsi="Verdana"/>
          <w:sz w:val="20"/>
          <w:szCs w:val="20"/>
        </w:rPr>
        <w:t xml:space="preserve">Prever mecanismos para que se revele al mercado la información eventual sobre la cual la sociedad no tenga el deber de reserva y esté obligada a transmitir, de conformidad con el literal </w:t>
      </w:r>
      <w:r w:rsidR="000A30B6">
        <w:rPr>
          <w:rFonts w:ascii="Verdana" w:hAnsi="Verdana"/>
          <w:sz w:val="20"/>
          <w:szCs w:val="20"/>
        </w:rPr>
        <w:t>(</w:t>
      </w:r>
      <w:r w:rsidRPr="00E606CC">
        <w:rPr>
          <w:rFonts w:ascii="Verdana" w:hAnsi="Verdana"/>
          <w:sz w:val="20"/>
          <w:szCs w:val="20"/>
        </w:rPr>
        <w:t>a) del artículo 2.9.20.1.1 del Decreto 2555 de 2010.</w:t>
      </w:r>
    </w:p>
    <w:p w14:paraId="0DEBFBD8" w14:textId="77777777" w:rsidR="008406FE" w:rsidRPr="008406FE" w:rsidRDefault="008406FE" w:rsidP="00766CA6">
      <w:pPr>
        <w:pStyle w:val="Prrafodelista"/>
        <w:jc w:val="both"/>
        <w:rPr>
          <w:rFonts w:ascii="Verdana" w:hAnsi="Verdana"/>
          <w:sz w:val="20"/>
          <w:szCs w:val="20"/>
        </w:rPr>
      </w:pPr>
    </w:p>
    <w:p w14:paraId="4E274AD2" w14:textId="0950E372" w:rsidR="008406FE" w:rsidRPr="00732E97" w:rsidRDefault="008406FE"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Monitoreo</w:t>
      </w:r>
    </w:p>
    <w:p w14:paraId="546E32DA" w14:textId="7E1E6895" w:rsidR="008406FE" w:rsidRPr="0086035E" w:rsidRDefault="008406FE"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105</w:t>
      </w:r>
      <w:r w:rsidRPr="0086035E">
        <w:rPr>
          <w:rFonts w:ascii="Verdana" w:hAnsi="Verdana"/>
          <w:sz w:val="20"/>
          <w:szCs w:val="20"/>
        </w:rPr>
        <w:t>.</w:t>
      </w:r>
    </w:p>
    <w:p w14:paraId="0DA859CE" w14:textId="56A4E12D" w:rsidR="004E5C13" w:rsidRPr="004E5C13" w:rsidRDefault="004E5C13" w:rsidP="00766CA6">
      <w:pPr>
        <w:spacing w:after="0"/>
        <w:jc w:val="both"/>
        <w:rPr>
          <w:rFonts w:ascii="Verdana" w:hAnsi="Verdana"/>
          <w:sz w:val="20"/>
          <w:szCs w:val="20"/>
        </w:rPr>
      </w:pPr>
      <w:r w:rsidRPr="004E5C13">
        <w:rPr>
          <w:rFonts w:ascii="Verdana" w:hAnsi="Verdana"/>
          <w:sz w:val="20"/>
          <w:szCs w:val="20"/>
        </w:rPr>
        <w:t>El monitoreo debe cumplir como mínimo con los siguientes requisitos:</w:t>
      </w:r>
    </w:p>
    <w:p w14:paraId="42079437" w14:textId="77777777" w:rsidR="004E5C13" w:rsidRDefault="004E5C13" w:rsidP="00766CA6">
      <w:pPr>
        <w:spacing w:after="0"/>
        <w:jc w:val="both"/>
        <w:rPr>
          <w:rFonts w:ascii="Verdana" w:hAnsi="Verdana"/>
          <w:sz w:val="20"/>
          <w:szCs w:val="20"/>
        </w:rPr>
      </w:pPr>
    </w:p>
    <w:p w14:paraId="1F9604A7" w14:textId="77777777" w:rsidR="004E5C13" w:rsidRDefault="004E5C13" w:rsidP="00766CA6">
      <w:pPr>
        <w:pStyle w:val="Prrafodelista"/>
        <w:numPr>
          <w:ilvl w:val="0"/>
          <w:numId w:val="41"/>
        </w:numPr>
        <w:spacing w:after="0"/>
        <w:ind w:left="567" w:hanging="567"/>
        <w:jc w:val="both"/>
        <w:rPr>
          <w:rFonts w:ascii="Verdana" w:hAnsi="Verdana"/>
          <w:sz w:val="20"/>
          <w:szCs w:val="20"/>
        </w:rPr>
      </w:pPr>
      <w:r w:rsidRPr="004E5C13">
        <w:rPr>
          <w:rFonts w:ascii="Verdana" w:hAnsi="Verdana"/>
          <w:sz w:val="20"/>
          <w:szCs w:val="20"/>
        </w:rPr>
        <w:t>Guardar correspondencia con el volumen y complejidad de las operaciones desarrolladas por la entidad.</w:t>
      </w:r>
    </w:p>
    <w:p w14:paraId="2027E4AE" w14:textId="77777777" w:rsidR="004E5C13" w:rsidRDefault="004E5C13" w:rsidP="00766CA6">
      <w:pPr>
        <w:pStyle w:val="Prrafodelista"/>
        <w:spacing w:after="0"/>
        <w:ind w:left="567"/>
        <w:jc w:val="both"/>
        <w:rPr>
          <w:rFonts w:ascii="Verdana" w:hAnsi="Verdana"/>
          <w:sz w:val="20"/>
          <w:szCs w:val="20"/>
        </w:rPr>
      </w:pPr>
    </w:p>
    <w:p w14:paraId="71CA412A" w14:textId="77777777" w:rsidR="004E5C13" w:rsidRDefault="004E5C13" w:rsidP="00766CA6">
      <w:pPr>
        <w:pStyle w:val="Prrafodelista"/>
        <w:numPr>
          <w:ilvl w:val="0"/>
          <w:numId w:val="41"/>
        </w:numPr>
        <w:spacing w:after="0"/>
        <w:ind w:left="567" w:hanging="567"/>
        <w:jc w:val="both"/>
        <w:rPr>
          <w:rFonts w:ascii="Verdana" w:hAnsi="Verdana"/>
          <w:sz w:val="20"/>
          <w:szCs w:val="20"/>
        </w:rPr>
      </w:pPr>
      <w:r w:rsidRPr="004E5C13">
        <w:rPr>
          <w:rFonts w:ascii="Verdana" w:hAnsi="Verdana"/>
          <w:sz w:val="20"/>
          <w:szCs w:val="20"/>
        </w:rPr>
        <w:t xml:space="preserve">Permitir el seguimiento de los niveles de exposición al riesgo de mercado y los límites generales establecidos por la entidad; así como los especiales determinados para la actividad de tesorería a nivel de </w:t>
      </w:r>
      <w:proofErr w:type="spellStart"/>
      <w:r w:rsidRPr="00B70125">
        <w:rPr>
          <w:rFonts w:ascii="Verdana" w:hAnsi="Verdana"/>
          <w:i/>
          <w:iCs/>
          <w:sz w:val="20"/>
          <w:szCs w:val="20"/>
        </w:rPr>
        <w:t>trader</w:t>
      </w:r>
      <w:proofErr w:type="spellEnd"/>
      <w:r w:rsidRPr="004E5C13">
        <w:rPr>
          <w:rFonts w:ascii="Verdana" w:hAnsi="Verdana"/>
          <w:sz w:val="20"/>
          <w:szCs w:val="20"/>
        </w:rPr>
        <w:t>, mesa de negociación y producto, según la estructura, características y operaciones autorizadas para cada tipo de entidad.</w:t>
      </w:r>
    </w:p>
    <w:p w14:paraId="7732E6A9" w14:textId="77777777" w:rsidR="004E5C13" w:rsidRPr="004E5C13" w:rsidRDefault="004E5C13" w:rsidP="00766CA6">
      <w:pPr>
        <w:pStyle w:val="Prrafodelista"/>
        <w:jc w:val="both"/>
        <w:rPr>
          <w:rFonts w:ascii="Verdana" w:hAnsi="Verdana"/>
          <w:sz w:val="20"/>
          <w:szCs w:val="20"/>
        </w:rPr>
      </w:pPr>
    </w:p>
    <w:p w14:paraId="4F6697BB" w14:textId="77777777" w:rsidR="004E5C13" w:rsidRDefault="004E5C13" w:rsidP="00766CA6">
      <w:pPr>
        <w:pStyle w:val="Prrafodelista"/>
        <w:numPr>
          <w:ilvl w:val="0"/>
          <w:numId w:val="41"/>
        </w:numPr>
        <w:spacing w:after="0"/>
        <w:ind w:left="567" w:hanging="567"/>
        <w:jc w:val="both"/>
        <w:rPr>
          <w:rFonts w:ascii="Verdana" w:hAnsi="Verdana"/>
          <w:sz w:val="20"/>
          <w:szCs w:val="20"/>
        </w:rPr>
      </w:pPr>
      <w:r w:rsidRPr="004E5C13">
        <w:rPr>
          <w:rFonts w:ascii="Verdana" w:hAnsi="Verdana"/>
          <w:sz w:val="20"/>
          <w:szCs w:val="20"/>
        </w:rPr>
        <w:t>Permitir el monitoreo de los límites y niveles de exposición al riesgo de mercado consolidado por factor o módulo de riesgo.</w:t>
      </w:r>
    </w:p>
    <w:p w14:paraId="2DD7C4E4" w14:textId="77777777" w:rsidR="004E5C13" w:rsidRPr="004E5C13" w:rsidRDefault="004E5C13" w:rsidP="00766CA6">
      <w:pPr>
        <w:pStyle w:val="Prrafodelista"/>
        <w:jc w:val="both"/>
        <w:rPr>
          <w:rFonts w:ascii="Verdana" w:hAnsi="Verdana"/>
          <w:sz w:val="20"/>
          <w:szCs w:val="20"/>
        </w:rPr>
      </w:pPr>
    </w:p>
    <w:p w14:paraId="056D4790" w14:textId="77777777" w:rsidR="004E5C13" w:rsidRDefault="004E5C13" w:rsidP="00766CA6">
      <w:pPr>
        <w:pStyle w:val="Prrafodelista"/>
        <w:numPr>
          <w:ilvl w:val="0"/>
          <w:numId w:val="41"/>
        </w:numPr>
        <w:spacing w:after="0"/>
        <w:ind w:left="567" w:hanging="567"/>
        <w:jc w:val="both"/>
        <w:rPr>
          <w:rFonts w:ascii="Verdana" w:hAnsi="Verdana"/>
          <w:sz w:val="20"/>
          <w:szCs w:val="20"/>
        </w:rPr>
      </w:pPr>
      <w:r w:rsidRPr="004E5C13">
        <w:rPr>
          <w:rFonts w:ascii="Verdana" w:hAnsi="Verdana"/>
          <w:sz w:val="20"/>
          <w:szCs w:val="20"/>
        </w:rPr>
        <w:t>Considerar la estrategia y apetito de riesgo de la entidad y las condiciones de las economías y mercados en donde opera la entidad.</w:t>
      </w:r>
    </w:p>
    <w:p w14:paraId="4C5F02AE" w14:textId="77777777" w:rsidR="004E5C13" w:rsidRPr="004E5C13" w:rsidRDefault="004E5C13" w:rsidP="00766CA6">
      <w:pPr>
        <w:pStyle w:val="Prrafodelista"/>
        <w:jc w:val="both"/>
        <w:rPr>
          <w:rFonts w:ascii="Verdana" w:hAnsi="Verdana"/>
          <w:sz w:val="20"/>
          <w:szCs w:val="20"/>
        </w:rPr>
      </w:pPr>
    </w:p>
    <w:p w14:paraId="28529354" w14:textId="48CEDB5A" w:rsidR="00137CA9" w:rsidRPr="00137CA9" w:rsidRDefault="004E5C13" w:rsidP="00766CA6">
      <w:pPr>
        <w:pStyle w:val="Prrafodelista"/>
        <w:numPr>
          <w:ilvl w:val="0"/>
          <w:numId w:val="41"/>
        </w:numPr>
        <w:spacing w:after="0"/>
        <w:ind w:left="567" w:hanging="567"/>
        <w:jc w:val="both"/>
        <w:rPr>
          <w:rFonts w:ascii="Verdana" w:hAnsi="Verdana"/>
          <w:sz w:val="20"/>
          <w:szCs w:val="20"/>
        </w:rPr>
      </w:pPr>
      <w:r w:rsidRPr="004E5C13">
        <w:rPr>
          <w:rFonts w:ascii="Verdana" w:hAnsi="Verdana"/>
          <w:sz w:val="20"/>
          <w:szCs w:val="20"/>
        </w:rPr>
        <w:t>Permitir la elaboración de reportes gerenciales y de monitoreo de riesgos que evalúen los resultados de las estrategias e incluyan el resumen de las posiciones por producto.</w:t>
      </w:r>
    </w:p>
    <w:p w14:paraId="055CEE47" w14:textId="77777777" w:rsidR="00005FAB" w:rsidRDefault="00005FAB" w:rsidP="00766CA6">
      <w:pPr>
        <w:jc w:val="both"/>
        <w:rPr>
          <w:rFonts w:ascii="Verdana" w:hAnsi="Verdana"/>
          <w:b/>
          <w:bCs/>
          <w:sz w:val="20"/>
          <w:szCs w:val="20"/>
        </w:rPr>
      </w:pPr>
    </w:p>
    <w:p w14:paraId="357714D1" w14:textId="369858C1" w:rsidR="005E6078" w:rsidRPr="007735FE" w:rsidRDefault="005E6078" w:rsidP="00766CA6">
      <w:pPr>
        <w:jc w:val="both"/>
        <w:rPr>
          <w:rFonts w:ascii="Verdana" w:hAnsi="Verdana"/>
          <w:b/>
          <w:bCs/>
          <w:sz w:val="20"/>
          <w:szCs w:val="20"/>
        </w:rPr>
      </w:pPr>
      <w:r>
        <w:rPr>
          <w:rFonts w:ascii="Verdana" w:hAnsi="Verdana"/>
          <w:b/>
          <w:bCs/>
          <w:sz w:val="20"/>
          <w:szCs w:val="20"/>
        </w:rPr>
        <w:lastRenderedPageBreak/>
        <w:t>Límites</w:t>
      </w:r>
    </w:p>
    <w:p w14:paraId="46C34C22" w14:textId="29325586" w:rsidR="005E6078" w:rsidRPr="0086035E" w:rsidRDefault="005E6078"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106</w:t>
      </w:r>
      <w:r w:rsidRPr="0086035E">
        <w:rPr>
          <w:rFonts w:ascii="Verdana" w:hAnsi="Verdana"/>
          <w:sz w:val="20"/>
          <w:szCs w:val="20"/>
        </w:rPr>
        <w:t>.</w:t>
      </w:r>
    </w:p>
    <w:p w14:paraId="64219ECE" w14:textId="583007F3" w:rsidR="00CD2CDA" w:rsidRPr="00EB4BE9" w:rsidRDefault="00805158" w:rsidP="00766CA6">
      <w:pPr>
        <w:spacing w:after="0"/>
        <w:jc w:val="both"/>
        <w:rPr>
          <w:rFonts w:ascii="Verdana" w:hAnsi="Verdana"/>
          <w:sz w:val="20"/>
          <w:szCs w:val="20"/>
        </w:rPr>
      </w:pPr>
      <w:r w:rsidRPr="00805158">
        <w:rPr>
          <w:rFonts w:ascii="Verdana" w:hAnsi="Verdana"/>
          <w:sz w:val="20"/>
          <w:szCs w:val="20"/>
        </w:rPr>
        <w:t xml:space="preserve">La entidad debe establecer los criterios para la definición de límites frente a pérdidas y a niveles máximos de exposición al riesgo de mercado, así como señalar límites para las posiciones en riesgo de acuerdo con el tipo de riesgo, negocio, contraparte o producto. Lo anterior conforme con el plan de negocio y el MAR de la entidad y los entornos económicos y de los mercados en donde </w:t>
      </w:r>
      <w:r w:rsidR="00DA3B92">
        <w:rPr>
          <w:rFonts w:ascii="Verdana" w:hAnsi="Verdana"/>
          <w:sz w:val="20"/>
          <w:szCs w:val="20"/>
        </w:rPr>
        <w:t>la entidad</w:t>
      </w:r>
      <w:r w:rsidRPr="00805158">
        <w:rPr>
          <w:rFonts w:ascii="Verdana" w:hAnsi="Verdana"/>
          <w:sz w:val="20"/>
          <w:szCs w:val="20"/>
        </w:rPr>
        <w:t xml:space="preserve"> opera. Así mismo, debe consagrar los procedimientos a seguir en caso de sobrepasar los límites o enfrentar cambios fuertes e inesperados en el mercado</w:t>
      </w:r>
      <w:r w:rsidR="00CD2CDA" w:rsidRPr="00EB4BE9">
        <w:rPr>
          <w:rFonts w:ascii="Verdana" w:hAnsi="Verdana"/>
          <w:sz w:val="20"/>
          <w:szCs w:val="20"/>
        </w:rPr>
        <w:t>.</w:t>
      </w:r>
    </w:p>
    <w:p w14:paraId="78D632FA" w14:textId="77777777" w:rsidR="00CD2CDA" w:rsidRPr="00EB4BE9" w:rsidRDefault="00CD2CDA" w:rsidP="00766CA6">
      <w:pPr>
        <w:spacing w:after="0"/>
        <w:jc w:val="both"/>
        <w:rPr>
          <w:rFonts w:ascii="Verdana" w:hAnsi="Verdana"/>
          <w:sz w:val="20"/>
          <w:szCs w:val="20"/>
        </w:rPr>
      </w:pPr>
    </w:p>
    <w:p w14:paraId="1D65DB89" w14:textId="4C6EA179" w:rsidR="00805158" w:rsidRPr="0086035E" w:rsidRDefault="00CD2CDA" w:rsidP="00766CA6">
      <w:pPr>
        <w:spacing w:after="0"/>
        <w:jc w:val="both"/>
        <w:rPr>
          <w:rFonts w:ascii="Verdana" w:hAnsi="Verdana"/>
          <w:sz w:val="20"/>
          <w:szCs w:val="20"/>
        </w:rPr>
      </w:pPr>
      <w:r w:rsidRPr="003F3D3E">
        <w:rPr>
          <w:rFonts w:ascii="Verdana" w:hAnsi="Verdana"/>
          <w:sz w:val="20"/>
          <w:szCs w:val="20"/>
        </w:rPr>
        <w:t>1</w:t>
      </w:r>
      <w:r w:rsidR="00805158" w:rsidRPr="0086035E">
        <w:rPr>
          <w:rFonts w:ascii="Verdana" w:hAnsi="Verdana"/>
          <w:sz w:val="20"/>
          <w:szCs w:val="20"/>
        </w:rPr>
        <w:t>.1.</w:t>
      </w:r>
      <w:r w:rsidR="00805158">
        <w:rPr>
          <w:rFonts w:ascii="Verdana" w:hAnsi="Verdana"/>
          <w:sz w:val="20"/>
          <w:szCs w:val="20"/>
        </w:rPr>
        <w:t>2</w:t>
      </w:r>
      <w:r w:rsidR="00805158" w:rsidRPr="0086035E">
        <w:rPr>
          <w:rFonts w:ascii="Verdana" w:hAnsi="Verdana"/>
          <w:sz w:val="20"/>
          <w:szCs w:val="20"/>
        </w:rPr>
        <w:t>.</w:t>
      </w:r>
      <w:r w:rsidR="00805158">
        <w:rPr>
          <w:rFonts w:ascii="Verdana" w:hAnsi="Verdana"/>
          <w:sz w:val="20"/>
          <w:szCs w:val="20"/>
        </w:rPr>
        <w:t>107</w:t>
      </w:r>
      <w:r w:rsidR="00805158" w:rsidRPr="0086035E">
        <w:rPr>
          <w:rFonts w:ascii="Verdana" w:hAnsi="Verdana"/>
          <w:sz w:val="20"/>
          <w:szCs w:val="20"/>
        </w:rPr>
        <w:t>.</w:t>
      </w:r>
    </w:p>
    <w:p w14:paraId="6A0A4DB5" w14:textId="65CE94E7" w:rsidR="005E6078" w:rsidRDefault="00805158" w:rsidP="00766CA6">
      <w:pPr>
        <w:spacing w:after="0"/>
        <w:jc w:val="both"/>
        <w:rPr>
          <w:rFonts w:ascii="Verdana" w:hAnsi="Verdana"/>
          <w:sz w:val="20"/>
          <w:szCs w:val="20"/>
        </w:rPr>
      </w:pPr>
      <w:r w:rsidRPr="00805158">
        <w:rPr>
          <w:rFonts w:ascii="Verdana" w:hAnsi="Verdana"/>
          <w:sz w:val="20"/>
          <w:szCs w:val="20"/>
        </w:rPr>
        <w:t>L</w:t>
      </w:r>
      <w:r>
        <w:rPr>
          <w:rFonts w:ascii="Verdana" w:hAnsi="Verdana"/>
          <w:sz w:val="20"/>
          <w:szCs w:val="20"/>
        </w:rPr>
        <w:t>os</w:t>
      </w:r>
      <w:r w:rsidRPr="00805158">
        <w:rPr>
          <w:rFonts w:ascii="Verdana" w:hAnsi="Verdana"/>
          <w:sz w:val="20"/>
          <w:szCs w:val="20"/>
        </w:rPr>
        <w:t xml:space="preserve"> límites que la entidad establezca a sus exposiciones en actividades de tesorería deben cumplir con los siguientes requisitos:</w:t>
      </w:r>
    </w:p>
    <w:p w14:paraId="4B290E23" w14:textId="77777777" w:rsidR="00050CA4" w:rsidRDefault="00050CA4" w:rsidP="00766CA6">
      <w:pPr>
        <w:spacing w:after="0"/>
        <w:jc w:val="both"/>
        <w:rPr>
          <w:rFonts w:ascii="Verdana" w:hAnsi="Verdana"/>
          <w:sz w:val="20"/>
          <w:szCs w:val="20"/>
        </w:rPr>
      </w:pPr>
    </w:p>
    <w:p w14:paraId="0C2F1589" w14:textId="77777777" w:rsidR="00050CA4" w:rsidRDefault="00050CA4" w:rsidP="00766CA6">
      <w:pPr>
        <w:pStyle w:val="Prrafodelista"/>
        <w:numPr>
          <w:ilvl w:val="0"/>
          <w:numId w:val="42"/>
        </w:numPr>
        <w:spacing w:after="0"/>
        <w:ind w:left="567" w:hanging="567"/>
        <w:jc w:val="both"/>
        <w:rPr>
          <w:rFonts w:ascii="Verdana" w:hAnsi="Verdana"/>
          <w:sz w:val="20"/>
          <w:szCs w:val="20"/>
        </w:rPr>
      </w:pPr>
      <w:r w:rsidRPr="00050CA4">
        <w:rPr>
          <w:rFonts w:ascii="Verdana" w:hAnsi="Verdana"/>
          <w:sz w:val="20"/>
          <w:szCs w:val="20"/>
        </w:rPr>
        <w:t xml:space="preserve">Establecer los parámetros para la definición de los límites especiales a nivel de </w:t>
      </w:r>
      <w:proofErr w:type="spellStart"/>
      <w:r w:rsidRPr="000A30B6">
        <w:rPr>
          <w:rFonts w:ascii="Verdana" w:hAnsi="Verdana"/>
          <w:i/>
          <w:iCs/>
          <w:sz w:val="20"/>
          <w:szCs w:val="20"/>
        </w:rPr>
        <w:t>trader</w:t>
      </w:r>
      <w:proofErr w:type="spellEnd"/>
      <w:r w:rsidRPr="00050CA4">
        <w:rPr>
          <w:rFonts w:ascii="Verdana" w:hAnsi="Verdana"/>
          <w:sz w:val="20"/>
          <w:szCs w:val="20"/>
        </w:rPr>
        <w:t>, mesa de negociación y producto, según la estructura, características y operaciones autorizadas para cada tipo de entidad.</w:t>
      </w:r>
    </w:p>
    <w:p w14:paraId="63BC4A8C" w14:textId="77777777" w:rsidR="00050CA4" w:rsidRDefault="00050CA4" w:rsidP="00766CA6">
      <w:pPr>
        <w:pStyle w:val="Prrafodelista"/>
        <w:spacing w:after="0"/>
        <w:ind w:left="567"/>
        <w:jc w:val="both"/>
        <w:rPr>
          <w:rFonts w:ascii="Verdana" w:hAnsi="Verdana"/>
          <w:sz w:val="20"/>
          <w:szCs w:val="20"/>
        </w:rPr>
      </w:pPr>
    </w:p>
    <w:p w14:paraId="22EA8AB1" w14:textId="77777777" w:rsidR="00050CA4" w:rsidRDefault="00050CA4" w:rsidP="00766CA6">
      <w:pPr>
        <w:pStyle w:val="Prrafodelista"/>
        <w:numPr>
          <w:ilvl w:val="0"/>
          <w:numId w:val="42"/>
        </w:numPr>
        <w:spacing w:after="0"/>
        <w:ind w:left="567" w:hanging="567"/>
        <w:jc w:val="both"/>
        <w:rPr>
          <w:rFonts w:ascii="Verdana" w:hAnsi="Verdana"/>
          <w:sz w:val="20"/>
          <w:szCs w:val="20"/>
        </w:rPr>
      </w:pPr>
      <w:r w:rsidRPr="00050CA4">
        <w:rPr>
          <w:rFonts w:ascii="Verdana" w:hAnsi="Verdana"/>
          <w:sz w:val="20"/>
          <w:szCs w:val="20"/>
        </w:rPr>
        <w:t>Establecerse en forma individual dejando prevista su agregación o cálculo global al menos una vez al día.</w:t>
      </w:r>
    </w:p>
    <w:p w14:paraId="1AD7655F" w14:textId="77777777" w:rsidR="00050CA4" w:rsidRPr="00050CA4" w:rsidRDefault="00050CA4" w:rsidP="00766CA6">
      <w:pPr>
        <w:pStyle w:val="Prrafodelista"/>
        <w:jc w:val="both"/>
        <w:rPr>
          <w:rFonts w:ascii="Verdana" w:hAnsi="Verdana"/>
          <w:sz w:val="20"/>
          <w:szCs w:val="20"/>
        </w:rPr>
      </w:pPr>
    </w:p>
    <w:p w14:paraId="2416AFF3" w14:textId="77777777" w:rsidR="00050CA4" w:rsidRDefault="00050CA4" w:rsidP="00766CA6">
      <w:pPr>
        <w:pStyle w:val="Prrafodelista"/>
        <w:numPr>
          <w:ilvl w:val="0"/>
          <w:numId w:val="42"/>
        </w:numPr>
        <w:spacing w:after="0"/>
        <w:ind w:left="567" w:hanging="567"/>
        <w:jc w:val="both"/>
        <w:rPr>
          <w:rFonts w:ascii="Verdana" w:hAnsi="Verdana"/>
          <w:sz w:val="20"/>
          <w:szCs w:val="20"/>
        </w:rPr>
      </w:pPr>
      <w:r w:rsidRPr="00050CA4">
        <w:rPr>
          <w:rFonts w:ascii="Verdana" w:hAnsi="Verdana"/>
          <w:sz w:val="20"/>
          <w:szCs w:val="20"/>
        </w:rPr>
        <w:t>Ser consistentes con el nivel de riesgo de la entidad.</w:t>
      </w:r>
    </w:p>
    <w:p w14:paraId="1568D073" w14:textId="77777777" w:rsidR="00050CA4" w:rsidRPr="00050CA4" w:rsidRDefault="00050CA4" w:rsidP="00766CA6">
      <w:pPr>
        <w:pStyle w:val="Prrafodelista"/>
        <w:jc w:val="both"/>
        <w:rPr>
          <w:rFonts w:ascii="Verdana" w:hAnsi="Verdana"/>
          <w:sz w:val="20"/>
          <w:szCs w:val="20"/>
        </w:rPr>
      </w:pPr>
    </w:p>
    <w:p w14:paraId="2C02C04B" w14:textId="77777777" w:rsidR="00050CA4" w:rsidRDefault="00050CA4" w:rsidP="00766CA6">
      <w:pPr>
        <w:pStyle w:val="Prrafodelista"/>
        <w:numPr>
          <w:ilvl w:val="0"/>
          <w:numId w:val="42"/>
        </w:numPr>
        <w:spacing w:after="0"/>
        <w:ind w:left="567" w:hanging="567"/>
        <w:jc w:val="both"/>
        <w:rPr>
          <w:rFonts w:ascii="Verdana" w:hAnsi="Verdana"/>
          <w:sz w:val="20"/>
          <w:szCs w:val="20"/>
        </w:rPr>
      </w:pPr>
      <w:r w:rsidRPr="00050CA4">
        <w:rPr>
          <w:rFonts w:ascii="Verdana" w:hAnsi="Verdana"/>
          <w:sz w:val="20"/>
          <w:szCs w:val="20"/>
        </w:rPr>
        <w:t>Incluir los niveles de exposición al riesgo de mercado con el fin de que sean revisados periódicamente, para incorporar cambios en las condiciones del mercado o nuevas decisiones derivadas del análisis de riesgo.</w:t>
      </w:r>
    </w:p>
    <w:p w14:paraId="0097D165" w14:textId="77777777" w:rsidR="00050CA4" w:rsidRPr="00050CA4" w:rsidRDefault="00050CA4" w:rsidP="00766CA6">
      <w:pPr>
        <w:pStyle w:val="Prrafodelista"/>
        <w:jc w:val="both"/>
        <w:rPr>
          <w:rFonts w:ascii="Verdana" w:hAnsi="Verdana"/>
          <w:sz w:val="20"/>
          <w:szCs w:val="20"/>
        </w:rPr>
      </w:pPr>
    </w:p>
    <w:p w14:paraId="587AB85C" w14:textId="77777777" w:rsidR="00050CA4" w:rsidRDefault="00050CA4" w:rsidP="00766CA6">
      <w:pPr>
        <w:pStyle w:val="Prrafodelista"/>
        <w:numPr>
          <w:ilvl w:val="0"/>
          <w:numId w:val="42"/>
        </w:numPr>
        <w:spacing w:after="0"/>
        <w:ind w:left="567" w:hanging="567"/>
        <w:jc w:val="both"/>
        <w:rPr>
          <w:rFonts w:ascii="Verdana" w:hAnsi="Verdana"/>
          <w:sz w:val="20"/>
          <w:szCs w:val="20"/>
        </w:rPr>
      </w:pPr>
      <w:r w:rsidRPr="00050CA4">
        <w:rPr>
          <w:rFonts w:ascii="Verdana" w:hAnsi="Verdana"/>
          <w:sz w:val="20"/>
          <w:szCs w:val="20"/>
        </w:rPr>
        <w:t>Establecer los lineamientos para que todas las operaciones sean registradas oportunamente de modo que se pueda realizar un control efectivo de los cumplimientos de los límites.</w:t>
      </w:r>
    </w:p>
    <w:p w14:paraId="76FF9735" w14:textId="77777777" w:rsidR="00050CA4" w:rsidRPr="00050CA4" w:rsidRDefault="00050CA4" w:rsidP="00766CA6">
      <w:pPr>
        <w:pStyle w:val="Prrafodelista"/>
        <w:jc w:val="both"/>
        <w:rPr>
          <w:rFonts w:ascii="Verdana" w:hAnsi="Verdana"/>
          <w:sz w:val="20"/>
          <w:szCs w:val="20"/>
        </w:rPr>
      </w:pPr>
    </w:p>
    <w:p w14:paraId="76B7C36A" w14:textId="77777777" w:rsidR="00D711F5" w:rsidRDefault="00050CA4" w:rsidP="00766CA6">
      <w:pPr>
        <w:pStyle w:val="Prrafodelista"/>
        <w:numPr>
          <w:ilvl w:val="0"/>
          <w:numId w:val="42"/>
        </w:numPr>
        <w:spacing w:after="0"/>
        <w:ind w:left="567" w:hanging="567"/>
        <w:jc w:val="both"/>
        <w:rPr>
          <w:rFonts w:ascii="Verdana" w:hAnsi="Verdana"/>
          <w:sz w:val="20"/>
          <w:szCs w:val="20"/>
        </w:rPr>
      </w:pPr>
      <w:r w:rsidRPr="00050CA4">
        <w:rPr>
          <w:rFonts w:ascii="Verdana" w:hAnsi="Verdana"/>
          <w:sz w:val="20"/>
          <w:szCs w:val="20"/>
        </w:rPr>
        <w:t xml:space="preserve">Establecer los mecanismos para que los límites sean conocidos en forma oportuna por los funcionarios encargados de las negociaciones y, en particular, por los </w:t>
      </w:r>
      <w:proofErr w:type="spellStart"/>
      <w:r w:rsidRPr="000A30B6">
        <w:rPr>
          <w:rFonts w:ascii="Verdana" w:hAnsi="Verdana"/>
          <w:i/>
          <w:iCs/>
          <w:sz w:val="20"/>
          <w:szCs w:val="20"/>
        </w:rPr>
        <w:t>traders</w:t>
      </w:r>
      <w:proofErr w:type="spellEnd"/>
      <w:r w:rsidRPr="00050CA4">
        <w:rPr>
          <w:rFonts w:ascii="Verdana" w:hAnsi="Verdana"/>
          <w:sz w:val="20"/>
          <w:szCs w:val="20"/>
        </w:rPr>
        <w:t>.</w:t>
      </w:r>
    </w:p>
    <w:p w14:paraId="02D0A269" w14:textId="77777777" w:rsidR="00D711F5" w:rsidRPr="00D711F5" w:rsidRDefault="00D711F5" w:rsidP="00766CA6">
      <w:pPr>
        <w:pStyle w:val="Prrafodelista"/>
        <w:jc w:val="both"/>
        <w:rPr>
          <w:rFonts w:ascii="Verdana" w:hAnsi="Verdana"/>
          <w:sz w:val="20"/>
          <w:szCs w:val="20"/>
        </w:rPr>
      </w:pPr>
    </w:p>
    <w:p w14:paraId="5B32791F" w14:textId="4E323212" w:rsidR="00D711F5" w:rsidRPr="00D711F5" w:rsidRDefault="00D711F5" w:rsidP="00766CA6">
      <w:pPr>
        <w:pStyle w:val="Prrafodelista"/>
        <w:numPr>
          <w:ilvl w:val="0"/>
          <w:numId w:val="42"/>
        </w:numPr>
        <w:spacing w:after="0"/>
        <w:ind w:left="567" w:hanging="567"/>
        <w:jc w:val="both"/>
        <w:rPr>
          <w:rFonts w:ascii="Verdana" w:hAnsi="Verdana"/>
          <w:sz w:val="20"/>
          <w:szCs w:val="20"/>
        </w:rPr>
      </w:pPr>
      <w:r w:rsidRPr="00D711F5">
        <w:rPr>
          <w:rFonts w:ascii="Verdana" w:hAnsi="Verdana"/>
          <w:sz w:val="20"/>
          <w:szCs w:val="20"/>
        </w:rPr>
        <w:t>Establecer los mecanismos para que el control sobre el cumplimiento de los límites sea llevado a cabo por áreas funcionales diferentes a las encargadas de las negociaciones.</w:t>
      </w:r>
    </w:p>
    <w:p w14:paraId="3A5D7C32" w14:textId="77777777" w:rsidR="00D711F5" w:rsidRPr="00D711F5" w:rsidRDefault="00D711F5" w:rsidP="00766CA6">
      <w:pPr>
        <w:spacing w:after="0"/>
        <w:jc w:val="both"/>
        <w:rPr>
          <w:rFonts w:ascii="Verdana" w:hAnsi="Verdana"/>
          <w:sz w:val="20"/>
          <w:szCs w:val="20"/>
        </w:rPr>
      </w:pPr>
    </w:p>
    <w:p w14:paraId="2F724D27" w14:textId="7F548FC3" w:rsidR="00D711F5" w:rsidRPr="00D711F5" w:rsidRDefault="00D711F5" w:rsidP="00766CA6">
      <w:pPr>
        <w:spacing w:after="0"/>
        <w:jc w:val="both"/>
        <w:rPr>
          <w:rFonts w:ascii="Verdana" w:hAnsi="Verdana"/>
          <w:b/>
          <w:bCs/>
          <w:sz w:val="20"/>
          <w:szCs w:val="20"/>
        </w:rPr>
      </w:pPr>
      <w:r w:rsidRPr="00D711F5">
        <w:rPr>
          <w:rFonts w:ascii="Verdana" w:hAnsi="Verdana"/>
          <w:b/>
          <w:bCs/>
          <w:sz w:val="20"/>
          <w:szCs w:val="20"/>
        </w:rPr>
        <w:t>Divulgación de información y reportes</w:t>
      </w:r>
    </w:p>
    <w:p w14:paraId="79843716" w14:textId="1033AD6A" w:rsidR="00004E76" w:rsidRPr="00004E76" w:rsidRDefault="00004E76" w:rsidP="00766CA6">
      <w:pPr>
        <w:spacing w:after="0"/>
        <w:jc w:val="both"/>
        <w:rPr>
          <w:rFonts w:ascii="Verdana" w:hAnsi="Verdana"/>
          <w:b/>
          <w:bCs/>
          <w:sz w:val="20"/>
          <w:szCs w:val="20"/>
        </w:rPr>
      </w:pPr>
    </w:p>
    <w:p w14:paraId="6042434C" w14:textId="1F4FD66E" w:rsidR="00004E76" w:rsidRPr="0007593B" w:rsidRDefault="00004E76" w:rsidP="00766CA6">
      <w:pPr>
        <w:pStyle w:val="Prrafodelista"/>
        <w:numPr>
          <w:ilvl w:val="0"/>
          <w:numId w:val="2"/>
        </w:numPr>
        <w:tabs>
          <w:tab w:val="left" w:pos="0"/>
        </w:tabs>
        <w:ind w:left="284" w:hanging="284"/>
        <w:jc w:val="both"/>
        <w:rPr>
          <w:rFonts w:ascii="Verdana" w:hAnsi="Verdana"/>
          <w:b/>
          <w:bCs/>
          <w:sz w:val="20"/>
          <w:szCs w:val="20"/>
        </w:rPr>
      </w:pPr>
      <w:r>
        <w:rPr>
          <w:rFonts w:ascii="Verdana" w:hAnsi="Verdana"/>
          <w:b/>
          <w:bCs/>
          <w:sz w:val="20"/>
          <w:szCs w:val="20"/>
        </w:rPr>
        <w:t xml:space="preserve">Divulgación </w:t>
      </w:r>
      <w:r w:rsidRPr="00F73B21">
        <w:rPr>
          <w:rFonts w:ascii="Verdana" w:hAnsi="Verdana"/>
          <w:b/>
          <w:bCs/>
          <w:sz w:val="20"/>
          <w:szCs w:val="20"/>
        </w:rPr>
        <w:t>de información por parte de las SCBV</w:t>
      </w:r>
    </w:p>
    <w:p w14:paraId="5F7EF7EC" w14:textId="691CA1A2" w:rsidR="00F73B21" w:rsidRPr="0086035E" w:rsidRDefault="00004E76" w:rsidP="00766CA6">
      <w:pPr>
        <w:spacing w:after="0"/>
        <w:jc w:val="both"/>
        <w:rPr>
          <w:rFonts w:ascii="Verdana" w:hAnsi="Verdana"/>
          <w:sz w:val="20"/>
          <w:szCs w:val="20"/>
        </w:rPr>
      </w:pPr>
      <w:r w:rsidRPr="00E60910">
        <w:rPr>
          <w:rFonts w:ascii="Verdana" w:hAnsi="Verdana"/>
          <w:sz w:val="20"/>
          <w:szCs w:val="20"/>
        </w:rPr>
        <w:t>1</w:t>
      </w:r>
      <w:r w:rsidR="00F73B21" w:rsidRPr="0086035E">
        <w:rPr>
          <w:rFonts w:ascii="Verdana" w:hAnsi="Verdana"/>
          <w:sz w:val="20"/>
          <w:szCs w:val="20"/>
        </w:rPr>
        <w:t>.1.</w:t>
      </w:r>
      <w:r w:rsidR="00F73B21">
        <w:rPr>
          <w:rFonts w:ascii="Verdana" w:hAnsi="Verdana"/>
          <w:sz w:val="20"/>
          <w:szCs w:val="20"/>
        </w:rPr>
        <w:t>2</w:t>
      </w:r>
      <w:r w:rsidR="00F73B21" w:rsidRPr="0086035E">
        <w:rPr>
          <w:rFonts w:ascii="Verdana" w:hAnsi="Verdana"/>
          <w:sz w:val="20"/>
          <w:szCs w:val="20"/>
        </w:rPr>
        <w:t>.</w:t>
      </w:r>
      <w:r w:rsidR="00F73B21">
        <w:rPr>
          <w:rFonts w:ascii="Verdana" w:hAnsi="Verdana"/>
          <w:sz w:val="20"/>
          <w:szCs w:val="20"/>
        </w:rPr>
        <w:t>108</w:t>
      </w:r>
      <w:r w:rsidR="00F73B21" w:rsidRPr="0086035E">
        <w:rPr>
          <w:rFonts w:ascii="Verdana" w:hAnsi="Verdana"/>
          <w:sz w:val="20"/>
          <w:szCs w:val="20"/>
        </w:rPr>
        <w:t>.</w:t>
      </w:r>
    </w:p>
    <w:p w14:paraId="2AC8B0C2" w14:textId="08F9EFAA" w:rsidR="00D711F5" w:rsidRDefault="000B3234" w:rsidP="00766CA6">
      <w:pPr>
        <w:spacing w:after="0"/>
        <w:jc w:val="both"/>
        <w:rPr>
          <w:rFonts w:ascii="Verdana" w:hAnsi="Verdana"/>
          <w:sz w:val="20"/>
          <w:szCs w:val="20"/>
        </w:rPr>
      </w:pPr>
      <w:r w:rsidRPr="000B3234">
        <w:rPr>
          <w:rFonts w:ascii="Verdana" w:hAnsi="Verdana"/>
          <w:sz w:val="20"/>
          <w:szCs w:val="20"/>
        </w:rPr>
        <w:t xml:space="preserve">En adición a lo dispuesto en </w:t>
      </w:r>
      <w:r w:rsidR="004774FB">
        <w:rPr>
          <w:rFonts w:ascii="Verdana" w:hAnsi="Verdana"/>
          <w:sz w:val="20"/>
          <w:szCs w:val="20"/>
        </w:rPr>
        <w:t xml:space="preserve">los párrafos 1.1.1.63. </w:t>
      </w:r>
      <w:r w:rsidR="00526C9D">
        <w:rPr>
          <w:rFonts w:ascii="Verdana" w:hAnsi="Verdana"/>
          <w:sz w:val="20"/>
          <w:szCs w:val="20"/>
        </w:rPr>
        <w:t xml:space="preserve">y 1.1.1.64. </w:t>
      </w:r>
      <w:r w:rsidRPr="000B3234">
        <w:rPr>
          <w:rFonts w:ascii="Verdana" w:hAnsi="Verdana"/>
          <w:sz w:val="20"/>
          <w:szCs w:val="20"/>
        </w:rPr>
        <w:t xml:space="preserve">del presente </w:t>
      </w:r>
      <w:r w:rsidR="00526C9D">
        <w:rPr>
          <w:rFonts w:ascii="Verdana" w:hAnsi="Verdana"/>
          <w:sz w:val="20"/>
          <w:szCs w:val="20"/>
        </w:rPr>
        <w:t>c</w:t>
      </w:r>
      <w:r w:rsidRPr="000B3234">
        <w:rPr>
          <w:rFonts w:ascii="Verdana" w:hAnsi="Verdana"/>
          <w:sz w:val="20"/>
          <w:szCs w:val="20"/>
        </w:rPr>
        <w:t>apítulo, las SCBV deben mantener a disposición del público, a través de medios que garanticen su acceso, toda la información que resulte necesaria para que los inversionistas tengan un adecuado y cabal entendimiento respecto de la estructura general que la sociedad tenga diseñada e implementada para la identificación, valoración, medición y control integral de riesgos. Tal información debe incluir, en todos los casos, lo siguiente:</w:t>
      </w:r>
    </w:p>
    <w:p w14:paraId="5C674E13" w14:textId="77777777" w:rsidR="00120303" w:rsidRPr="00120303" w:rsidRDefault="00120303" w:rsidP="00766CA6">
      <w:pPr>
        <w:spacing w:after="0"/>
        <w:jc w:val="both"/>
        <w:rPr>
          <w:rFonts w:ascii="Verdana" w:hAnsi="Verdana"/>
          <w:sz w:val="20"/>
          <w:szCs w:val="20"/>
        </w:rPr>
      </w:pPr>
    </w:p>
    <w:p w14:paraId="0A77C38D" w14:textId="77777777" w:rsidR="00120303" w:rsidRDefault="00120303" w:rsidP="00766CA6">
      <w:pPr>
        <w:pStyle w:val="Prrafodelista"/>
        <w:numPr>
          <w:ilvl w:val="0"/>
          <w:numId w:val="43"/>
        </w:numPr>
        <w:spacing w:after="0"/>
        <w:ind w:left="567" w:hanging="567"/>
        <w:jc w:val="both"/>
        <w:rPr>
          <w:rFonts w:ascii="Verdana" w:hAnsi="Verdana"/>
          <w:sz w:val="20"/>
          <w:szCs w:val="20"/>
        </w:rPr>
      </w:pPr>
      <w:r w:rsidRPr="00120303">
        <w:rPr>
          <w:rFonts w:ascii="Verdana" w:hAnsi="Verdana"/>
          <w:sz w:val="20"/>
          <w:szCs w:val="20"/>
        </w:rPr>
        <w:t>Descripción de los distintos riesgos identificados por la sociedad comisionista según las actividades que ésta realice, por tipo y fuente de riesgo. Cuando la sociedad comisionista desarrolle operaciones por cuenta propia, debe revelar en forma explícita los riesgos identificados en la ejecución de dicha actividad.</w:t>
      </w:r>
    </w:p>
    <w:p w14:paraId="1EC2E2DA" w14:textId="77777777" w:rsidR="00120303" w:rsidRDefault="00120303" w:rsidP="00766CA6">
      <w:pPr>
        <w:pStyle w:val="Prrafodelista"/>
        <w:spacing w:after="0"/>
        <w:ind w:left="567"/>
        <w:jc w:val="both"/>
        <w:rPr>
          <w:rFonts w:ascii="Verdana" w:hAnsi="Verdana"/>
          <w:sz w:val="20"/>
          <w:szCs w:val="20"/>
        </w:rPr>
      </w:pPr>
    </w:p>
    <w:p w14:paraId="470D281B" w14:textId="77777777" w:rsidR="00120303" w:rsidRDefault="00120303" w:rsidP="00766CA6">
      <w:pPr>
        <w:pStyle w:val="Prrafodelista"/>
        <w:numPr>
          <w:ilvl w:val="0"/>
          <w:numId w:val="43"/>
        </w:numPr>
        <w:spacing w:after="0"/>
        <w:ind w:left="567" w:hanging="567"/>
        <w:jc w:val="both"/>
        <w:rPr>
          <w:rFonts w:ascii="Verdana" w:hAnsi="Verdana"/>
          <w:sz w:val="20"/>
          <w:szCs w:val="20"/>
        </w:rPr>
      </w:pPr>
      <w:r w:rsidRPr="00120303">
        <w:rPr>
          <w:rFonts w:ascii="Verdana" w:hAnsi="Verdana"/>
          <w:sz w:val="20"/>
          <w:szCs w:val="20"/>
        </w:rPr>
        <w:t>Descripción de los mecanismos de cobertura, tales como pólizas de seguro y fondo de garantías, indicando en cada caso, explícitamente, los riesgos que cubren, su alcance y limitaciones. Adicionalmente, en relación con el Fondo de Garantías, informar los eventos no cubiertos, y los procedimientos de acceso y reclamación que lo rigen.</w:t>
      </w:r>
    </w:p>
    <w:p w14:paraId="5EC8766A" w14:textId="77777777" w:rsidR="00120303" w:rsidRPr="00120303" w:rsidRDefault="00120303" w:rsidP="00766CA6">
      <w:pPr>
        <w:pStyle w:val="Prrafodelista"/>
        <w:jc w:val="both"/>
        <w:rPr>
          <w:rFonts w:ascii="Verdana" w:hAnsi="Verdana"/>
          <w:sz w:val="20"/>
          <w:szCs w:val="20"/>
        </w:rPr>
      </w:pPr>
    </w:p>
    <w:p w14:paraId="45E16EC0" w14:textId="68FDD0BB" w:rsidR="00120303" w:rsidRPr="008A0FBA" w:rsidRDefault="00120303" w:rsidP="00766CA6">
      <w:pPr>
        <w:pStyle w:val="Prrafodelista"/>
        <w:numPr>
          <w:ilvl w:val="0"/>
          <w:numId w:val="43"/>
        </w:numPr>
        <w:spacing w:after="0"/>
        <w:ind w:left="567" w:hanging="567"/>
        <w:jc w:val="both"/>
        <w:rPr>
          <w:rFonts w:ascii="Verdana" w:hAnsi="Verdana"/>
          <w:sz w:val="20"/>
          <w:szCs w:val="20"/>
        </w:rPr>
      </w:pPr>
      <w:r w:rsidRPr="00120303">
        <w:rPr>
          <w:rFonts w:ascii="Verdana" w:hAnsi="Verdana"/>
          <w:sz w:val="20"/>
          <w:szCs w:val="20"/>
        </w:rPr>
        <w:t>La calificación de la sociedad comisionista, en caso de existir, con una síntesis de las razones expuestas por las sociedades calificadoras para su otorgamiento.</w:t>
      </w:r>
    </w:p>
    <w:p w14:paraId="7F9E4A80" w14:textId="6A61002E" w:rsidR="00117447" w:rsidRPr="0086035E" w:rsidRDefault="00117447" w:rsidP="00766CA6">
      <w:pPr>
        <w:spacing w:after="0"/>
        <w:jc w:val="both"/>
        <w:rPr>
          <w:rFonts w:ascii="Verdana" w:hAnsi="Verdana"/>
          <w:sz w:val="20"/>
          <w:szCs w:val="20"/>
        </w:rPr>
      </w:pPr>
      <w:r w:rsidRPr="0086035E">
        <w:rPr>
          <w:rFonts w:ascii="Verdana" w:hAnsi="Verdana"/>
          <w:sz w:val="20"/>
          <w:szCs w:val="20"/>
        </w:rPr>
        <w:lastRenderedPageBreak/>
        <w:t>1.1.</w:t>
      </w:r>
      <w:r>
        <w:rPr>
          <w:rFonts w:ascii="Verdana" w:hAnsi="Verdana"/>
          <w:sz w:val="20"/>
          <w:szCs w:val="20"/>
        </w:rPr>
        <w:t>2</w:t>
      </w:r>
      <w:r w:rsidRPr="0086035E">
        <w:rPr>
          <w:rFonts w:ascii="Verdana" w:hAnsi="Verdana"/>
          <w:sz w:val="20"/>
          <w:szCs w:val="20"/>
        </w:rPr>
        <w:t>.</w:t>
      </w:r>
      <w:r>
        <w:rPr>
          <w:rFonts w:ascii="Verdana" w:hAnsi="Verdana"/>
          <w:sz w:val="20"/>
          <w:szCs w:val="20"/>
        </w:rPr>
        <w:t>109</w:t>
      </w:r>
      <w:r w:rsidRPr="0086035E">
        <w:rPr>
          <w:rFonts w:ascii="Verdana" w:hAnsi="Verdana"/>
          <w:sz w:val="20"/>
          <w:szCs w:val="20"/>
        </w:rPr>
        <w:t>.</w:t>
      </w:r>
    </w:p>
    <w:p w14:paraId="73325127" w14:textId="351219F7" w:rsidR="00117447" w:rsidRPr="00117447" w:rsidRDefault="003A1AD3" w:rsidP="00766CA6">
      <w:pPr>
        <w:spacing w:after="0"/>
        <w:jc w:val="both"/>
        <w:rPr>
          <w:rFonts w:ascii="Verdana" w:hAnsi="Verdana"/>
          <w:sz w:val="20"/>
          <w:szCs w:val="20"/>
        </w:rPr>
      </w:pPr>
      <w:r>
        <w:rPr>
          <w:rFonts w:ascii="Verdana" w:hAnsi="Verdana"/>
          <w:sz w:val="20"/>
          <w:szCs w:val="20"/>
        </w:rPr>
        <w:t>L</w:t>
      </w:r>
      <w:r w:rsidR="00117447" w:rsidRPr="00117447">
        <w:rPr>
          <w:rFonts w:ascii="Verdana" w:hAnsi="Verdana"/>
          <w:sz w:val="20"/>
          <w:szCs w:val="20"/>
        </w:rPr>
        <w:t>as SCBV deben elaborar informes que se basen en datos íntegros, precisos y oportunos relacionados con la administración de sus riesgos y que contengan como mínimo:</w:t>
      </w:r>
    </w:p>
    <w:p w14:paraId="6C602D04" w14:textId="77777777" w:rsidR="00117447" w:rsidRPr="00117447" w:rsidRDefault="00117447" w:rsidP="00766CA6">
      <w:pPr>
        <w:spacing w:after="0"/>
        <w:jc w:val="both"/>
        <w:rPr>
          <w:rFonts w:ascii="Verdana" w:hAnsi="Verdana"/>
          <w:sz w:val="20"/>
          <w:szCs w:val="20"/>
        </w:rPr>
      </w:pPr>
    </w:p>
    <w:p w14:paraId="63274A8C" w14:textId="77777777" w:rsidR="00547F42" w:rsidRDefault="00117447" w:rsidP="00766CA6">
      <w:pPr>
        <w:pStyle w:val="Prrafodelista"/>
        <w:numPr>
          <w:ilvl w:val="0"/>
          <w:numId w:val="44"/>
        </w:numPr>
        <w:spacing w:after="0"/>
        <w:ind w:left="567" w:hanging="567"/>
        <w:jc w:val="both"/>
        <w:rPr>
          <w:rFonts w:ascii="Verdana" w:hAnsi="Verdana"/>
          <w:sz w:val="20"/>
          <w:szCs w:val="20"/>
        </w:rPr>
      </w:pPr>
      <w:r w:rsidRPr="00D80D78">
        <w:rPr>
          <w:rFonts w:ascii="Verdana" w:hAnsi="Verdana"/>
          <w:sz w:val="20"/>
          <w:szCs w:val="20"/>
        </w:rPr>
        <w:t>La exposición al riesgo por líneas de negocios y operaciones.</w:t>
      </w:r>
    </w:p>
    <w:p w14:paraId="0F72CB09" w14:textId="77777777" w:rsidR="00547F42" w:rsidRDefault="00547F42" w:rsidP="00766CA6">
      <w:pPr>
        <w:pStyle w:val="Prrafodelista"/>
        <w:spacing w:after="0"/>
        <w:ind w:left="567"/>
        <w:jc w:val="both"/>
        <w:rPr>
          <w:rFonts w:ascii="Verdana" w:hAnsi="Verdana"/>
          <w:sz w:val="20"/>
          <w:szCs w:val="20"/>
        </w:rPr>
      </w:pPr>
    </w:p>
    <w:p w14:paraId="63E1E6B9" w14:textId="77777777" w:rsidR="00547F42" w:rsidRDefault="00117447" w:rsidP="00766CA6">
      <w:pPr>
        <w:pStyle w:val="Prrafodelista"/>
        <w:numPr>
          <w:ilvl w:val="0"/>
          <w:numId w:val="44"/>
        </w:numPr>
        <w:spacing w:after="0"/>
        <w:ind w:left="567" w:hanging="567"/>
        <w:jc w:val="both"/>
        <w:rPr>
          <w:rFonts w:ascii="Verdana" w:hAnsi="Verdana"/>
          <w:sz w:val="20"/>
          <w:szCs w:val="20"/>
        </w:rPr>
      </w:pPr>
      <w:r w:rsidRPr="00547F42">
        <w:rPr>
          <w:rFonts w:ascii="Verdana" w:hAnsi="Verdana"/>
          <w:sz w:val="20"/>
          <w:szCs w:val="20"/>
        </w:rPr>
        <w:t>Los resultados de los diferentes análisis de sensibilidad y pruebas bajo condiciones extremas.</w:t>
      </w:r>
    </w:p>
    <w:p w14:paraId="6C5D42B0" w14:textId="77777777" w:rsidR="00547F42" w:rsidRPr="00547F42" w:rsidRDefault="00547F42" w:rsidP="00766CA6">
      <w:pPr>
        <w:pStyle w:val="Prrafodelista"/>
        <w:jc w:val="both"/>
        <w:rPr>
          <w:rFonts w:ascii="Verdana" w:hAnsi="Verdana"/>
          <w:sz w:val="20"/>
          <w:szCs w:val="20"/>
        </w:rPr>
      </w:pPr>
    </w:p>
    <w:p w14:paraId="7534A48C" w14:textId="77777777" w:rsidR="00547F42" w:rsidRDefault="00117447" w:rsidP="00766CA6">
      <w:pPr>
        <w:pStyle w:val="Prrafodelista"/>
        <w:numPr>
          <w:ilvl w:val="0"/>
          <w:numId w:val="44"/>
        </w:numPr>
        <w:spacing w:after="0"/>
        <w:ind w:left="567" w:hanging="567"/>
        <w:jc w:val="both"/>
        <w:rPr>
          <w:rFonts w:ascii="Verdana" w:hAnsi="Verdana"/>
          <w:sz w:val="20"/>
          <w:szCs w:val="20"/>
        </w:rPr>
      </w:pPr>
      <w:r w:rsidRPr="00547F42">
        <w:rPr>
          <w:rFonts w:ascii="Verdana" w:hAnsi="Verdana"/>
          <w:sz w:val="20"/>
          <w:szCs w:val="20"/>
        </w:rPr>
        <w:t>Los casos en que los límites de exposición al riesgo fueron excedidos, ya sea que se contara o no con autorización previa.</w:t>
      </w:r>
    </w:p>
    <w:p w14:paraId="7F998B3D" w14:textId="77777777" w:rsidR="00547F42" w:rsidRPr="00547F42" w:rsidRDefault="00547F42" w:rsidP="00766CA6">
      <w:pPr>
        <w:pStyle w:val="Prrafodelista"/>
        <w:jc w:val="both"/>
        <w:rPr>
          <w:rFonts w:ascii="Verdana" w:hAnsi="Verdana"/>
          <w:sz w:val="20"/>
          <w:szCs w:val="20"/>
        </w:rPr>
      </w:pPr>
    </w:p>
    <w:p w14:paraId="3BADD44C" w14:textId="458AB453" w:rsidR="00117447" w:rsidRPr="00547F42" w:rsidRDefault="00117447" w:rsidP="00766CA6">
      <w:pPr>
        <w:pStyle w:val="Prrafodelista"/>
        <w:numPr>
          <w:ilvl w:val="0"/>
          <w:numId w:val="44"/>
        </w:numPr>
        <w:spacing w:after="0"/>
        <w:ind w:left="567" w:hanging="567"/>
        <w:jc w:val="both"/>
        <w:rPr>
          <w:rFonts w:ascii="Verdana" w:hAnsi="Verdana"/>
          <w:sz w:val="20"/>
          <w:szCs w:val="20"/>
        </w:rPr>
      </w:pPr>
      <w:r w:rsidRPr="00547F42">
        <w:rPr>
          <w:rFonts w:ascii="Verdana" w:hAnsi="Verdana"/>
          <w:sz w:val="20"/>
          <w:szCs w:val="20"/>
        </w:rPr>
        <w:t>Los resúmenes de los resultados de las evaluaciones con respecto al cumplimiento de las políticas, procedimientos y controles de administración de riesgos, así como sobre las evaluaciones de los modelos y técnicas de medición de riesgos.</w:t>
      </w:r>
    </w:p>
    <w:p w14:paraId="16B63B15" w14:textId="77777777" w:rsidR="00117447" w:rsidRPr="00117447" w:rsidRDefault="00117447" w:rsidP="00766CA6">
      <w:pPr>
        <w:spacing w:after="0"/>
        <w:jc w:val="both"/>
        <w:rPr>
          <w:rFonts w:ascii="Verdana" w:hAnsi="Verdana"/>
          <w:sz w:val="20"/>
          <w:szCs w:val="20"/>
        </w:rPr>
      </w:pPr>
    </w:p>
    <w:p w14:paraId="54B56456" w14:textId="0CE87F0E" w:rsidR="00117447" w:rsidRPr="0086035E" w:rsidRDefault="00117447"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110</w:t>
      </w:r>
      <w:r w:rsidRPr="0086035E">
        <w:rPr>
          <w:rFonts w:ascii="Verdana" w:hAnsi="Verdana"/>
          <w:sz w:val="20"/>
          <w:szCs w:val="20"/>
        </w:rPr>
        <w:t>.</w:t>
      </w:r>
    </w:p>
    <w:p w14:paraId="3CB87949" w14:textId="2328AE94" w:rsidR="00117447" w:rsidRDefault="00117447" w:rsidP="00766CA6">
      <w:pPr>
        <w:spacing w:after="0"/>
        <w:jc w:val="both"/>
        <w:rPr>
          <w:rFonts w:ascii="Verdana" w:hAnsi="Verdana"/>
          <w:sz w:val="20"/>
          <w:szCs w:val="20"/>
        </w:rPr>
      </w:pPr>
      <w:r w:rsidRPr="00117447">
        <w:rPr>
          <w:rFonts w:ascii="Verdana" w:hAnsi="Verdana"/>
          <w:sz w:val="20"/>
          <w:szCs w:val="20"/>
        </w:rPr>
        <w:t>Cualquier cambio significativo en el contenido y estructura de los informes, así como en las metodologías empleadas en la medición de riesgos, debe especificarse dentro de los mismos.</w:t>
      </w:r>
    </w:p>
    <w:p w14:paraId="7F3854D6" w14:textId="6D561133" w:rsidR="00365050" w:rsidRPr="00320A27" w:rsidRDefault="00365050" w:rsidP="00766CA6">
      <w:pPr>
        <w:spacing w:after="0"/>
        <w:jc w:val="both"/>
        <w:rPr>
          <w:rFonts w:ascii="Verdana" w:hAnsi="Verdana"/>
          <w:b/>
          <w:bCs/>
          <w:sz w:val="20"/>
          <w:szCs w:val="20"/>
        </w:rPr>
      </w:pPr>
    </w:p>
    <w:p w14:paraId="75EBC4EC" w14:textId="72D4F263" w:rsidR="00320A27" w:rsidRPr="0007593B" w:rsidRDefault="00320A27" w:rsidP="00766CA6">
      <w:pPr>
        <w:pStyle w:val="Prrafodelista"/>
        <w:numPr>
          <w:ilvl w:val="0"/>
          <w:numId w:val="2"/>
        </w:numPr>
        <w:tabs>
          <w:tab w:val="left" w:pos="0"/>
        </w:tabs>
        <w:ind w:left="284" w:hanging="284"/>
        <w:jc w:val="both"/>
        <w:rPr>
          <w:rFonts w:ascii="Verdana" w:hAnsi="Verdana"/>
          <w:b/>
          <w:bCs/>
          <w:sz w:val="20"/>
          <w:szCs w:val="20"/>
        </w:rPr>
      </w:pPr>
      <w:r>
        <w:rPr>
          <w:rFonts w:ascii="Verdana" w:hAnsi="Verdana"/>
          <w:b/>
          <w:bCs/>
          <w:sz w:val="20"/>
          <w:szCs w:val="20"/>
        </w:rPr>
        <w:t xml:space="preserve">Reportes </w:t>
      </w:r>
      <w:r w:rsidRPr="00365050">
        <w:rPr>
          <w:rFonts w:ascii="Verdana" w:hAnsi="Verdana"/>
          <w:b/>
          <w:bCs/>
          <w:sz w:val="20"/>
          <w:szCs w:val="20"/>
        </w:rPr>
        <w:t>de quienes desarrollen la función de gestión de riesgos</w:t>
      </w:r>
    </w:p>
    <w:p w14:paraId="04552A96" w14:textId="70EE8845" w:rsidR="007811EA" w:rsidRPr="0086035E" w:rsidRDefault="00320A27" w:rsidP="00766CA6">
      <w:pPr>
        <w:spacing w:after="0"/>
        <w:jc w:val="both"/>
        <w:rPr>
          <w:rFonts w:ascii="Verdana" w:hAnsi="Verdana"/>
          <w:sz w:val="20"/>
          <w:szCs w:val="20"/>
        </w:rPr>
      </w:pPr>
      <w:r w:rsidRPr="00E60910">
        <w:rPr>
          <w:rFonts w:ascii="Verdana" w:hAnsi="Verdana"/>
          <w:sz w:val="20"/>
          <w:szCs w:val="20"/>
        </w:rPr>
        <w:t>1</w:t>
      </w:r>
      <w:r w:rsidR="007811EA" w:rsidRPr="0086035E">
        <w:rPr>
          <w:rFonts w:ascii="Verdana" w:hAnsi="Verdana"/>
          <w:sz w:val="20"/>
          <w:szCs w:val="20"/>
        </w:rPr>
        <w:t>.1.</w:t>
      </w:r>
      <w:r w:rsidR="007811EA">
        <w:rPr>
          <w:rFonts w:ascii="Verdana" w:hAnsi="Verdana"/>
          <w:sz w:val="20"/>
          <w:szCs w:val="20"/>
        </w:rPr>
        <w:t>2</w:t>
      </w:r>
      <w:r w:rsidR="007811EA" w:rsidRPr="0086035E">
        <w:rPr>
          <w:rFonts w:ascii="Verdana" w:hAnsi="Verdana"/>
          <w:sz w:val="20"/>
          <w:szCs w:val="20"/>
        </w:rPr>
        <w:t>.</w:t>
      </w:r>
      <w:r w:rsidR="007811EA">
        <w:rPr>
          <w:rFonts w:ascii="Verdana" w:hAnsi="Verdana"/>
          <w:sz w:val="20"/>
          <w:szCs w:val="20"/>
        </w:rPr>
        <w:t>111</w:t>
      </w:r>
      <w:r w:rsidR="007811EA" w:rsidRPr="0086035E">
        <w:rPr>
          <w:rFonts w:ascii="Verdana" w:hAnsi="Verdana"/>
          <w:sz w:val="20"/>
          <w:szCs w:val="20"/>
        </w:rPr>
        <w:t>.</w:t>
      </w:r>
    </w:p>
    <w:p w14:paraId="03A13148" w14:textId="30C86673" w:rsidR="00365050" w:rsidRPr="00365050" w:rsidRDefault="00365050" w:rsidP="00766CA6">
      <w:pPr>
        <w:spacing w:after="0"/>
        <w:jc w:val="both"/>
        <w:rPr>
          <w:rFonts w:ascii="Verdana" w:hAnsi="Verdana"/>
          <w:sz w:val="20"/>
          <w:szCs w:val="20"/>
        </w:rPr>
      </w:pPr>
      <w:r w:rsidRPr="00365050">
        <w:rPr>
          <w:rFonts w:ascii="Verdana" w:hAnsi="Verdana"/>
          <w:sz w:val="20"/>
          <w:szCs w:val="20"/>
        </w:rPr>
        <w:t>Quiene</w:t>
      </w:r>
      <w:r>
        <w:rPr>
          <w:rFonts w:ascii="Verdana" w:hAnsi="Verdana"/>
          <w:sz w:val="20"/>
          <w:szCs w:val="20"/>
        </w:rPr>
        <w:t>s</w:t>
      </w:r>
      <w:r w:rsidRPr="00365050">
        <w:rPr>
          <w:rFonts w:ascii="Verdana" w:hAnsi="Verdana"/>
          <w:sz w:val="20"/>
          <w:szCs w:val="20"/>
        </w:rPr>
        <w:t xml:space="preserve"> desarrollen la función de gestión de riesgos debe</w:t>
      </w:r>
      <w:r w:rsidR="006D1635">
        <w:rPr>
          <w:rFonts w:ascii="Verdana" w:hAnsi="Verdana"/>
          <w:sz w:val="20"/>
          <w:szCs w:val="20"/>
        </w:rPr>
        <w:t>n</w:t>
      </w:r>
      <w:r w:rsidRPr="00365050">
        <w:rPr>
          <w:rFonts w:ascii="Verdana" w:hAnsi="Verdana"/>
          <w:sz w:val="20"/>
          <w:szCs w:val="20"/>
        </w:rPr>
        <w:t xml:space="preserve"> presentar, en adición a lo señalado en la </w:t>
      </w:r>
      <w:r w:rsidR="00840923">
        <w:rPr>
          <w:rFonts w:ascii="Verdana" w:hAnsi="Verdana"/>
          <w:sz w:val="20"/>
          <w:szCs w:val="20"/>
        </w:rPr>
        <w:t>sección 1</w:t>
      </w:r>
      <w:r w:rsidRPr="00365050">
        <w:rPr>
          <w:rFonts w:ascii="Verdana" w:hAnsi="Verdana"/>
          <w:sz w:val="20"/>
          <w:szCs w:val="20"/>
        </w:rPr>
        <w:t xml:space="preserve"> del presente </w:t>
      </w:r>
      <w:r w:rsidR="00840923">
        <w:rPr>
          <w:rFonts w:ascii="Verdana" w:hAnsi="Verdana"/>
          <w:sz w:val="20"/>
          <w:szCs w:val="20"/>
        </w:rPr>
        <w:t>c</w:t>
      </w:r>
      <w:r w:rsidRPr="00365050">
        <w:rPr>
          <w:rFonts w:ascii="Verdana" w:hAnsi="Verdana"/>
          <w:sz w:val="20"/>
          <w:szCs w:val="20"/>
        </w:rPr>
        <w:t>apítulo, por lo menos, una vez al mes, o con una frecuencia menor en atención al dinamismo de los riesgos, los siguientes aspectos:</w:t>
      </w:r>
    </w:p>
    <w:p w14:paraId="0E124C52" w14:textId="77777777" w:rsidR="00365050" w:rsidRDefault="00365050" w:rsidP="00766CA6">
      <w:pPr>
        <w:spacing w:after="0"/>
        <w:jc w:val="both"/>
        <w:rPr>
          <w:rFonts w:ascii="Verdana" w:hAnsi="Verdana"/>
          <w:sz w:val="20"/>
          <w:szCs w:val="20"/>
        </w:rPr>
      </w:pPr>
    </w:p>
    <w:p w14:paraId="7E639028" w14:textId="77777777" w:rsidR="00365050" w:rsidRDefault="00365050" w:rsidP="00766CA6">
      <w:pPr>
        <w:pStyle w:val="Prrafodelista"/>
        <w:numPr>
          <w:ilvl w:val="0"/>
          <w:numId w:val="45"/>
        </w:numPr>
        <w:spacing w:after="0"/>
        <w:ind w:left="567" w:hanging="567"/>
        <w:jc w:val="both"/>
        <w:rPr>
          <w:rFonts w:ascii="Verdana" w:hAnsi="Verdana"/>
          <w:sz w:val="20"/>
          <w:szCs w:val="20"/>
        </w:rPr>
      </w:pPr>
      <w:r w:rsidRPr="00365050">
        <w:rPr>
          <w:rFonts w:ascii="Verdana" w:hAnsi="Verdana"/>
          <w:sz w:val="20"/>
          <w:szCs w:val="20"/>
        </w:rPr>
        <w:t>La exposición al riesgo de manera global de la entidad, así como la específica de cada línea de negocio. Los informes sobre la exposición de riesgo deben incluir un análisis de sensibilidad y pruebas bajo condiciones extremas.</w:t>
      </w:r>
    </w:p>
    <w:p w14:paraId="5BCED781" w14:textId="77777777" w:rsidR="00365050" w:rsidRDefault="00365050" w:rsidP="00766CA6">
      <w:pPr>
        <w:pStyle w:val="Prrafodelista"/>
        <w:spacing w:after="0"/>
        <w:ind w:left="567"/>
        <w:jc w:val="both"/>
        <w:rPr>
          <w:rFonts w:ascii="Verdana" w:hAnsi="Verdana"/>
          <w:sz w:val="20"/>
          <w:szCs w:val="20"/>
        </w:rPr>
      </w:pPr>
    </w:p>
    <w:p w14:paraId="2FB5B355" w14:textId="2D10F3BE" w:rsidR="00EE4721" w:rsidRPr="00EE4721" w:rsidRDefault="00365050" w:rsidP="00565007">
      <w:pPr>
        <w:pStyle w:val="Prrafodelista"/>
        <w:numPr>
          <w:ilvl w:val="0"/>
          <w:numId w:val="45"/>
        </w:numPr>
        <w:spacing w:after="0"/>
        <w:ind w:left="567" w:hanging="567"/>
        <w:jc w:val="both"/>
        <w:rPr>
          <w:rFonts w:ascii="Verdana" w:hAnsi="Verdana"/>
          <w:sz w:val="20"/>
          <w:szCs w:val="20"/>
        </w:rPr>
      </w:pPr>
      <w:r w:rsidRPr="00EE4721">
        <w:rPr>
          <w:rFonts w:ascii="Verdana" w:hAnsi="Verdana"/>
          <w:sz w:val="20"/>
          <w:szCs w:val="20"/>
        </w:rPr>
        <w:t>Las desviaciones presentadas con respecto a los límites de exposición de riesgo establecidos.</w:t>
      </w:r>
    </w:p>
    <w:p w14:paraId="68AD86DD" w14:textId="77777777" w:rsidR="00EE4721" w:rsidRPr="00117447" w:rsidRDefault="00EE4721" w:rsidP="00766CA6">
      <w:pPr>
        <w:spacing w:after="0"/>
        <w:jc w:val="both"/>
        <w:rPr>
          <w:rFonts w:ascii="Verdana" w:hAnsi="Verdana"/>
          <w:sz w:val="20"/>
          <w:szCs w:val="20"/>
        </w:rPr>
      </w:pPr>
    </w:p>
    <w:p w14:paraId="70BA5D3D" w14:textId="485A0D22" w:rsidR="00370760" w:rsidRPr="00370760" w:rsidRDefault="00E576DA" w:rsidP="00766CA6">
      <w:pPr>
        <w:jc w:val="both"/>
        <w:rPr>
          <w:rFonts w:ascii="Verdana" w:hAnsi="Verdana"/>
          <w:b/>
          <w:bCs/>
          <w:sz w:val="20"/>
          <w:szCs w:val="20"/>
        </w:rPr>
      </w:pPr>
      <w:r>
        <w:rPr>
          <w:rFonts w:ascii="Verdana" w:hAnsi="Verdana"/>
          <w:b/>
          <w:bCs/>
          <w:sz w:val="20"/>
          <w:szCs w:val="20"/>
        </w:rPr>
        <w:t>Documentación</w:t>
      </w:r>
    </w:p>
    <w:p w14:paraId="4E80D165" w14:textId="70ADDE98" w:rsidR="00CD2CDA" w:rsidRPr="00370760" w:rsidRDefault="00CD2CDA" w:rsidP="00766CA6">
      <w:pPr>
        <w:spacing w:after="0"/>
        <w:jc w:val="both"/>
        <w:rPr>
          <w:rFonts w:ascii="Verdana" w:hAnsi="Verdana"/>
          <w:b/>
          <w:bCs/>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11</w:t>
      </w:r>
      <w:r w:rsidR="0007593B">
        <w:rPr>
          <w:rFonts w:ascii="Verdana" w:hAnsi="Verdana"/>
          <w:sz w:val="20"/>
          <w:szCs w:val="20"/>
        </w:rPr>
        <w:t>2</w:t>
      </w:r>
      <w:r w:rsidRPr="0086035E">
        <w:rPr>
          <w:rFonts w:ascii="Verdana" w:hAnsi="Verdana"/>
          <w:sz w:val="20"/>
          <w:szCs w:val="20"/>
        </w:rPr>
        <w:t>.</w:t>
      </w:r>
    </w:p>
    <w:p w14:paraId="4E241D7E" w14:textId="7000F42F" w:rsidR="0007593B" w:rsidRDefault="00A30F7E" w:rsidP="00766CA6">
      <w:pPr>
        <w:tabs>
          <w:tab w:val="left" w:pos="0"/>
        </w:tabs>
        <w:jc w:val="both"/>
        <w:rPr>
          <w:rFonts w:ascii="Verdana" w:hAnsi="Verdana"/>
          <w:sz w:val="20"/>
          <w:szCs w:val="20"/>
        </w:rPr>
      </w:pPr>
      <w:r w:rsidRPr="00A30F7E">
        <w:rPr>
          <w:rFonts w:ascii="Verdana" w:hAnsi="Verdana"/>
          <w:sz w:val="20"/>
          <w:szCs w:val="20"/>
        </w:rPr>
        <w:t>En adición de lo establecido en</w:t>
      </w:r>
      <w:r w:rsidR="00840923" w:rsidRPr="000B3234">
        <w:rPr>
          <w:rFonts w:ascii="Verdana" w:hAnsi="Verdana"/>
          <w:sz w:val="20"/>
          <w:szCs w:val="20"/>
        </w:rPr>
        <w:t xml:space="preserve"> </w:t>
      </w:r>
      <w:r w:rsidR="00840923">
        <w:rPr>
          <w:rFonts w:ascii="Verdana" w:hAnsi="Verdana"/>
          <w:sz w:val="20"/>
          <w:szCs w:val="20"/>
        </w:rPr>
        <w:t xml:space="preserve">los párrafos 1.1.1.63. y 1.1.1.64. </w:t>
      </w:r>
      <w:r w:rsidR="00840923" w:rsidRPr="000B3234">
        <w:rPr>
          <w:rFonts w:ascii="Verdana" w:hAnsi="Verdana"/>
          <w:sz w:val="20"/>
          <w:szCs w:val="20"/>
        </w:rPr>
        <w:t xml:space="preserve">del presente </w:t>
      </w:r>
      <w:r w:rsidR="00840923">
        <w:rPr>
          <w:rFonts w:ascii="Verdana" w:hAnsi="Verdana"/>
          <w:sz w:val="20"/>
          <w:szCs w:val="20"/>
        </w:rPr>
        <w:t>c</w:t>
      </w:r>
      <w:r w:rsidR="00840923" w:rsidRPr="000B3234">
        <w:rPr>
          <w:rFonts w:ascii="Verdana" w:hAnsi="Verdana"/>
          <w:sz w:val="20"/>
          <w:szCs w:val="20"/>
        </w:rPr>
        <w:t>apítulo</w:t>
      </w:r>
      <w:r w:rsidRPr="00A30F7E">
        <w:rPr>
          <w:rFonts w:ascii="Verdana" w:hAnsi="Verdana"/>
          <w:sz w:val="20"/>
          <w:szCs w:val="20"/>
        </w:rPr>
        <w:t>, la entidad debe contar con la siguiente documentación:</w:t>
      </w:r>
    </w:p>
    <w:p w14:paraId="6F031199" w14:textId="77777777" w:rsidR="0007593B" w:rsidRPr="00003E6A" w:rsidRDefault="00A30F7E" w:rsidP="00766CA6">
      <w:pPr>
        <w:pStyle w:val="Prrafodelista"/>
        <w:numPr>
          <w:ilvl w:val="0"/>
          <w:numId w:val="46"/>
        </w:numPr>
        <w:tabs>
          <w:tab w:val="left" w:pos="0"/>
        </w:tabs>
        <w:ind w:left="567" w:hanging="567"/>
        <w:jc w:val="both"/>
        <w:rPr>
          <w:rFonts w:ascii="Verdana" w:hAnsi="Verdana"/>
          <w:sz w:val="20"/>
          <w:szCs w:val="20"/>
          <w:lang w:val="en-US"/>
        </w:rPr>
      </w:pPr>
      <w:r w:rsidRPr="00003E6A">
        <w:rPr>
          <w:rFonts w:ascii="Verdana" w:hAnsi="Verdana"/>
          <w:sz w:val="20"/>
          <w:szCs w:val="20"/>
          <w:lang w:val="en-US"/>
        </w:rPr>
        <w:t xml:space="preserve">Los </w:t>
      </w:r>
      <w:proofErr w:type="spellStart"/>
      <w:r w:rsidRPr="00003E6A">
        <w:rPr>
          <w:rFonts w:ascii="Verdana" w:hAnsi="Verdana"/>
          <w:sz w:val="20"/>
          <w:szCs w:val="20"/>
          <w:lang w:val="en-US"/>
        </w:rPr>
        <w:t>manuales</w:t>
      </w:r>
      <w:proofErr w:type="spellEnd"/>
      <w:r w:rsidRPr="00003E6A">
        <w:rPr>
          <w:rFonts w:ascii="Verdana" w:hAnsi="Verdana"/>
          <w:sz w:val="20"/>
          <w:szCs w:val="20"/>
          <w:lang w:val="en-US"/>
        </w:rPr>
        <w:t xml:space="preserve"> de </w:t>
      </w:r>
      <w:proofErr w:type="spellStart"/>
      <w:r w:rsidRPr="00003E6A">
        <w:rPr>
          <w:rFonts w:ascii="Verdana" w:hAnsi="Verdana"/>
          <w:sz w:val="20"/>
          <w:szCs w:val="20"/>
          <w:lang w:val="en-US"/>
        </w:rPr>
        <w:t>operación</w:t>
      </w:r>
      <w:proofErr w:type="spellEnd"/>
      <w:r w:rsidRPr="00003E6A">
        <w:rPr>
          <w:rFonts w:ascii="Verdana" w:hAnsi="Verdana"/>
          <w:sz w:val="20"/>
          <w:szCs w:val="20"/>
          <w:lang w:val="en-US"/>
        </w:rPr>
        <w:t xml:space="preserve"> del </w:t>
      </w:r>
      <w:r w:rsidRPr="00003E6A">
        <w:rPr>
          <w:rFonts w:ascii="Verdana" w:hAnsi="Verdana"/>
          <w:i/>
          <w:iCs/>
          <w:sz w:val="20"/>
          <w:szCs w:val="20"/>
          <w:lang w:val="en-US"/>
        </w:rPr>
        <w:t>front office</w:t>
      </w:r>
      <w:r w:rsidRPr="00003E6A">
        <w:rPr>
          <w:rFonts w:ascii="Verdana" w:hAnsi="Verdana"/>
          <w:sz w:val="20"/>
          <w:szCs w:val="20"/>
          <w:lang w:val="en-US"/>
        </w:rPr>
        <w:t xml:space="preserve">, </w:t>
      </w:r>
      <w:r w:rsidRPr="00003E6A">
        <w:rPr>
          <w:rFonts w:ascii="Verdana" w:hAnsi="Verdana"/>
          <w:i/>
          <w:iCs/>
          <w:sz w:val="20"/>
          <w:szCs w:val="20"/>
          <w:lang w:val="en-US"/>
        </w:rPr>
        <w:t>middle office</w:t>
      </w:r>
      <w:r w:rsidRPr="00003E6A">
        <w:rPr>
          <w:rFonts w:ascii="Verdana" w:hAnsi="Verdana"/>
          <w:sz w:val="20"/>
          <w:szCs w:val="20"/>
          <w:lang w:val="en-US"/>
        </w:rPr>
        <w:t xml:space="preserve"> y </w:t>
      </w:r>
      <w:r w:rsidRPr="00003E6A">
        <w:rPr>
          <w:rFonts w:ascii="Verdana" w:hAnsi="Verdana"/>
          <w:i/>
          <w:iCs/>
          <w:sz w:val="20"/>
          <w:szCs w:val="20"/>
          <w:lang w:val="en-US"/>
        </w:rPr>
        <w:t>back office</w:t>
      </w:r>
      <w:r w:rsidRPr="00003E6A">
        <w:rPr>
          <w:rFonts w:ascii="Verdana" w:hAnsi="Verdana"/>
          <w:sz w:val="20"/>
          <w:szCs w:val="20"/>
          <w:lang w:val="en-US"/>
        </w:rPr>
        <w:t>.</w:t>
      </w:r>
    </w:p>
    <w:p w14:paraId="66503A4D" w14:textId="77777777" w:rsidR="0007593B" w:rsidRPr="00DF3346" w:rsidRDefault="0007593B" w:rsidP="00766CA6">
      <w:pPr>
        <w:pStyle w:val="Prrafodelista"/>
        <w:tabs>
          <w:tab w:val="left" w:pos="0"/>
        </w:tabs>
        <w:ind w:left="567"/>
        <w:jc w:val="both"/>
        <w:rPr>
          <w:rFonts w:ascii="Verdana" w:hAnsi="Verdana"/>
          <w:sz w:val="20"/>
          <w:szCs w:val="20"/>
          <w:lang w:val="en-US"/>
        </w:rPr>
      </w:pPr>
    </w:p>
    <w:p w14:paraId="6714F6FB" w14:textId="77777777" w:rsidR="0007593B" w:rsidRDefault="00A30F7E" w:rsidP="00766CA6">
      <w:pPr>
        <w:pStyle w:val="Prrafodelista"/>
        <w:numPr>
          <w:ilvl w:val="0"/>
          <w:numId w:val="46"/>
        </w:numPr>
        <w:tabs>
          <w:tab w:val="left" w:pos="0"/>
        </w:tabs>
        <w:ind w:left="567" w:hanging="567"/>
        <w:jc w:val="both"/>
        <w:rPr>
          <w:rFonts w:ascii="Verdana" w:hAnsi="Verdana"/>
          <w:sz w:val="20"/>
          <w:szCs w:val="20"/>
        </w:rPr>
      </w:pPr>
      <w:r w:rsidRPr="0007593B">
        <w:rPr>
          <w:rFonts w:ascii="Verdana" w:hAnsi="Verdana"/>
          <w:sz w:val="20"/>
          <w:szCs w:val="20"/>
        </w:rPr>
        <w:t>Las metodologías de valoración de instrumentos financieros y medición de riesgos.</w:t>
      </w:r>
    </w:p>
    <w:p w14:paraId="2A53E881" w14:textId="77777777" w:rsidR="0007593B" w:rsidRPr="0007593B" w:rsidRDefault="0007593B" w:rsidP="00766CA6">
      <w:pPr>
        <w:pStyle w:val="Prrafodelista"/>
        <w:jc w:val="both"/>
        <w:rPr>
          <w:rFonts w:ascii="Verdana" w:hAnsi="Verdana"/>
          <w:sz w:val="20"/>
          <w:szCs w:val="20"/>
        </w:rPr>
      </w:pPr>
    </w:p>
    <w:p w14:paraId="5FF6F56C" w14:textId="77777777" w:rsidR="0007593B" w:rsidRDefault="00A30F7E" w:rsidP="00766CA6">
      <w:pPr>
        <w:pStyle w:val="Prrafodelista"/>
        <w:numPr>
          <w:ilvl w:val="0"/>
          <w:numId w:val="46"/>
        </w:numPr>
        <w:tabs>
          <w:tab w:val="left" w:pos="0"/>
        </w:tabs>
        <w:ind w:left="567" w:hanging="567"/>
        <w:jc w:val="both"/>
        <w:rPr>
          <w:rFonts w:ascii="Verdana" w:hAnsi="Verdana"/>
          <w:sz w:val="20"/>
          <w:szCs w:val="20"/>
        </w:rPr>
      </w:pPr>
      <w:r w:rsidRPr="0007593B">
        <w:rPr>
          <w:rFonts w:ascii="Verdana" w:hAnsi="Verdana"/>
          <w:sz w:val="20"/>
          <w:szCs w:val="20"/>
        </w:rPr>
        <w:t>Los reportes elaborados por el área de control de riesgos sobre el cumplimiento de los límites y del nivel de exposición del riesgo de mercado y de los riesgos asociados.</w:t>
      </w:r>
    </w:p>
    <w:p w14:paraId="20321637" w14:textId="77777777" w:rsidR="0007593B" w:rsidRPr="0007593B" w:rsidRDefault="0007593B" w:rsidP="00766CA6">
      <w:pPr>
        <w:pStyle w:val="Prrafodelista"/>
        <w:jc w:val="both"/>
        <w:rPr>
          <w:rFonts w:ascii="Verdana" w:hAnsi="Verdana"/>
          <w:sz w:val="20"/>
          <w:szCs w:val="20"/>
        </w:rPr>
      </w:pPr>
    </w:p>
    <w:p w14:paraId="1A1C513E" w14:textId="77777777" w:rsidR="0007593B" w:rsidRDefault="00A30F7E" w:rsidP="00766CA6">
      <w:pPr>
        <w:pStyle w:val="Prrafodelista"/>
        <w:numPr>
          <w:ilvl w:val="0"/>
          <w:numId w:val="46"/>
        </w:numPr>
        <w:tabs>
          <w:tab w:val="left" w:pos="0"/>
        </w:tabs>
        <w:ind w:left="567" w:hanging="567"/>
        <w:jc w:val="both"/>
        <w:rPr>
          <w:rFonts w:ascii="Verdana" w:hAnsi="Verdana"/>
          <w:sz w:val="20"/>
          <w:szCs w:val="20"/>
        </w:rPr>
      </w:pPr>
      <w:proofErr w:type="gramStart"/>
      <w:r w:rsidRPr="0007593B">
        <w:rPr>
          <w:rFonts w:ascii="Verdana" w:hAnsi="Verdana"/>
          <w:sz w:val="20"/>
          <w:szCs w:val="20"/>
        </w:rPr>
        <w:t>El procedimiento a seguir</w:t>
      </w:r>
      <w:proofErr w:type="gramEnd"/>
      <w:r w:rsidRPr="0007593B">
        <w:rPr>
          <w:rFonts w:ascii="Verdana" w:hAnsi="Verdana"/>
          <w:sz w:val="20"/>
          <w:szCs w:val="20"/>
        </w:rPr>
        <w:t xml:space="preserve"> en caso de incumplimiento en los límites fijados.</w:t>
      </w:r>
    </w:p>
    <w:p w14:paraId="4B65738A" w14:textId="77777777" w:rsidR="0007593B" w:rsidRPr="0007593B" w:rsidRDefault="0007593B" w:rsidP="00766CA6">
      <w:pPr>
        <w:pStyle w:val="Prrafodelista"/>
        <w:jc w:val="both"/>
        <w:rPr>
          <w:rFonts w:ascii="Verdana" w:hAnsi="Verdana"/>
          <w:sz w:val="20"/>
          <w:szCs w:val="20"/>
        </w:rPr>
      </w:pPr>
    </w:p>
    <w:p w14:paraId="34E4D892" w14:textId="180F32CB" w:rsidR="00A30F7E" w:rsidRPr="0007593B" w:rsidRDefault="00A30F7E" w:rsidP="00766CA6">
      <w:pPr>
        <w:pStyle w:val="Prrafodelista"/>
        <w:numPr>
          <w:ilvl w:val="0"/>
          <w:numId w:val="2"/>
        </w:numPr>
        <w:tabs>
          <w:tab w:val="left" w:pos="0"/>
        </w:tabs>
        <w:ind w:left="284" w:hanging="284"/>
        <w:jc w:val="both"/>
        <w:rPr>
          <w:rFonts w:ascii="Verdana" w:hAnsi="Verdana"/>
          <w:b/>
          <w:bCs/>
          <w:sz w:val="20"/>
          <w:szCs w:val="20"/>
        </w:rPr>
      </w:pPr>
      <w:r w:rsidRPr="0007593B">
        <w:rPr>
          <w:rFonts w:ascii="Verdana" w:hAnsi="Verdana"/>
          <w:b/>
          <w:bCs/>
          <w:sz w:val="20"/>
          <w:szCs w:val="20"/>
        </w:rPr>
        <w:t>Documentación de las SCBV</w:t>
      </w:r>
    </w:p>
    <w:p w14:paraId="0C7B1DFE" w14:textId="028A6896" w:rsidR="00E60910" w:rsidRPr="00E60910" w:rsidRDefault="00E60910" w:rsidP="00766CA6">
      <w:pPr>
        <w:spacing w:after="0"/>
        <w:jc w:val="both"/>
        <w:rPr>
          <w:rFonts w:ascii="Verdana" w:hAnsi="Verdana"/>
          <w:sz w:val="20"/>
          <w:szCs w:val="20"/>
        </w:rPr>
      </w:pPr>
      <w:r w:rsidRPr="00E60910">
        <w:rPr>
          <w:rFonts w:ascii="Verdana" w:hAnsi="Verdana"/>
          <w:sz w:val="20"/>
          <w:szCs w:val="20"/>
        </w:rPr>
        <w:t>1.1.2.11</w:t>
      </w:r>
      <w:r w:rsidR="008C72B6">
        <w:rPr>
          <w:rFonts w:ascii="Verdana" w:hAnsi="Verdana"/>
          <w:sz w:val="20"/>
          <w:szCs w:val="20"/>
        </w:rPr>
        <w:t>3</w:t>
      </w:r>
      <w:r w:rsidRPr="00E60910">
        <w:rPr>
          <w:rFonts w:ascii="Verdana" w:hAnsi="Verdana"/>
          <w:sz w:val="20"/>
          <w:szCs w:val="20"/>
        </w:rPr>
        <w:t>.</w:t>
      </w:r>
    </w:p>
    <w:p w14:paraId="3F8B2A8F" w14:textId="3843511E" w:rsidR="00A30F7E" w:rsidRPr="00A30F7E" w:rsidRDefault="00E60910" w:rsidP="00766CA6">
      <w:pPr>
        <w:tabs>
          <w:tab w:val="left" w:pos="0"/>
        </w:tabs>
        <w:jc w:val="both"/>
        <w:rPr>
          <w:rFonts w:ascii="Verdana" w:hAnsi="Verdana"/>
          <w:sz w:val="20"/>
          <w:szCs w:val="20"/>
        </w:rPr>
      </w:pPr>
      <w:r w:rsidRPr="00E60910">
        <w:rPr>
          <w:rFonts w:ascii="Verdana" w:hAnsi="Verdana"/>
          <w:sz w:val="20"/>
          <w:szCs w:val="20"/>
        </w:rPr>
        <w:t>En</w:t>
      </w:r>
      <w:r>
        <w:rPr>
          <w:rFonts w:ascii="Verdana" w:hAnsi="Verdana"/>
          <w:sz w:val="20"/>
          <w:szCs w:val="20"/>
        </w:rPr>
        <w:t xml:space="preserve"> </w:t>
      </w:r>
      <w:r w:rsidR="00A30F7E" w:rsidRPr="00A30F7E">
        <w:rPr>
          <w:rFonts w:ascii="Verdana" w:hAnsi="Verdana"/>
          <w:sz w:val="20"/>
          <w:szCs w:val="20"/>
        </w:rPr>
        <w:t xml:space="preserve">adición a lo establecido </w:t>
      </w:r>
      <w:r w:rsidR="005B795D" w:rsidRPr="00A30F7E">
        <w:rPr>
          <w:rFonts w:ascii="Verdana" w:hAnsi="Verdana"/>
          <w:sz w:val="20"/>
          <w:szCs w:val="20"/>
        </w:rPr>
        <w:t>en</w:t>
      </w:r>
      <w:r w:rsidR="005B795D" w:rsidRPr="000B3234">
        <w:rPr>
          <w:rFonts w:ascii="Verdana" w:hAnsi="Verdana"/>
          <w:sz w:val="20"/>
          <w:szCs w:val="20"/>
        </w:rPr>
        <w:t xml:space="preserve"> </w:t>
      </w:r>
      <w:r w:rsidR="005B795D">
        <w:rPr>
          <w:rFonts w:ascii="Verdana" w:hAnsi="Verdana"/>
          <w:sz w:val="20"/>
          <w:szCs w:val="20"/>
        </w:rPr>
        <w:t xml:space="preserve">los párrafos 1.1.1.63. y 1.1.1.64. </w:t>
      </w:r>
      <w:r w:rsidR="005B795D" w:rsidRPr="000B3234">
        <w:rPr>
          <w:rFonts w:ascii="Verdana" w:hAnsi="Verdana"/>
          <w:sz w:val="20"/>
          <w:szCs w:val="20"/>
        </w:rPr>
        <w:t xml:space="preserve">del presente </w:t>
      </w:r>
      <w:r w:rsidR="005B795D">
        <w:rPr>
          <w:rFonts w:ascii="Verdana" w:hAnsi="Verdana"/>
          <w:sz w:val="20"/>
          <w:szCs w:val="20"/>
        </w:rPr>
        <w:t>c</w:t>
      </w:r>
      <w:r w:rsidR="005B795D" w:rsidRPr="000B3234">
        <w:rPr>
          <w:rFonts w:ascii="Verdana" w:hAnsi="Verdana"/>
          <w:sz w:val="20"/>
          <w:szCs w:val="20"/>
        </w:rPr>
        <w:t>apítulo</w:t>
      </w:r>
      <w:r w:rsidR="00A30F7E" w:rsidRPr="00A30F7E">
        <w:rPr>
          <w:rFonts w:ascii="Verdana" w:hAnsi="Verdana"/>
          <w:sz w:val="20"/>
          <w:szCs w:val="20"/>
        </w:rPr>
        <w:t>, la documentación de las SCBV debe comprender lo siguiente:</w:t>
      </w:r>
    </w:p>
    <w:p w14:paraId="478E8971" w14:textId="77777777" w:rsidR="00E60910" w:rsidRDefault="00A30F7E" w:rsidP="00766CA6">
      <w:pPr>
        <w:pStyle w:val="Prrafodelista"/>
        <w:numPr>
          <w:ilvl w:val="0"/>
          <w:numId w:val="47"/>
        </w:numPr>
        <w:tabs>
          <w:tab w:val="left" w:pos="709"/>
        </w:tabs>
        <w:spacing w:after="0" w:line="240" w:lineRule="auto"/>
        <w:ind w:left="567" w:hanging="567"/>
        <w:jc w:val="both"/>
        <w:rPr>
          <w:rFonts w:ascii="Verdana" w:hAnsi="Verdana"/>
          <w:sz w:val="20"/>
          <w:szCs w:val="20"/>
        </w:rPr>
      </w:pPr>
      <w:r w:rsidRPr="00E60910">
        <w:rPr>
          <w:rFonts w:ascii="Verdana" w:hAnsi="Verdana"/>
          <w:sz w:val="20"/>
          <w:szCs w:val="20"/>
        </w:rPr>
        <w:t>El sistema Electrónico de Registro de Órdenes sobre Valores denominado libro electrónico de órdenes (LEO).</w:t>
      </w:r>
    </w:p>
    <w:p w14:paraId="3D0E0055" w14:textId="77777777" w:rsidR="00330C95" w:rsidRDefault="00330C95" w:rsidP="00330C95">
      <w:pPr>
        <w:pStyle w:val="Prrafodelista"/>
        <w:tabs>
          <w:tab w:val="left" w:pos="709"/>
        </w:tabs>
        <w:spacing w:after="0" w:line="240" w:lineRule="auto"/>
        <w:ind w:left="567"/>
        <w:jc w:val="both"/>
        <w:rPr>
          <w:rFonts w:ascii="Verdana" w:hAnsi="Verdana"/>
          <w:sz w:val="20"/>
          <w:szCs w:val="20"/>
        </w:rPr>
      </w:pPr>
    </w:p>
    <w:p w14:paraId="5606830D" w14:textId="17342C27" w:rsidR="00A30F7E" w:rsidRDefault="00A30F7E" w:rsidP="00766CA6">
      <w:pPr>
        <w:pStyle w:val="Prrafodelista"/>
        <w:numPr>
          <w:ilvl w:val="0"/>
          <w:numId w:val="47"/>
        </w:numPr>
        <w:tabs>
          <w:tab w:val="left" w:pos="709"/>
        </w:tabs>
        <w:spacing w:after="0" w:line="240" w:lineRule="auto"/>
        <w:ind w:left="567" w:hanging="567"/>
        <w:jc w:val="both"/>
        <w:rPr>
          <w:rFonts w:ascii="Verdana" w:hAnsi="Verdana"/>
          <w:sz w:val="20"/>
          <w:szCs w:val="20"/>
        </w:rPr>
      </w:pPr>
      <w:r w:rsidRPr="00E60910">
        <w:rPr>
          <w:rFonts w:ascii="Verdana" w:hAnsi="Verdana"/>
          <w:sz w:val="20"/>
          <w:szCs w:val="20"/>
        </w:rPr>
        <w:t>Las cartas de compromiso de compra y venta cuando se realicen operaciones carrusel. Cuando los participantes en estas operaciones deban suscribir cartas de compromiso como garantía de la operación, las mismas deben estar a disposición de los comisionistas a más tardar dentro de las 24 horas siguientes al registro de la operación en bolsa y contener como mínimo los siguientes puntos:</w:t>
      </w:r>
    </w:p>
    <w:p w14:paraId="5E05698A" w14:textId="77777777" w:rsidR="00F70FDB" w:rsidRPr="008B0FA5" w:rsidRDefault="00F70FDB" w:rsidP="008B0FA5">
      <w:pPr>
        <w:pStyle w:val="Prrafodelista"/>
        <w:rPr>
          <w:rFonts w:ascii="Verdana" w:hAnsi="Verdana"/>
          <w:sz w:val="20"/>
          <w:szCs w:val="20"/>
        </w:rPr>
      </w:pPr>
    </w:p>
    <w:p w14:paraId="7865373F" w14:textId="77777777" w:rsidR="00F70FDB" w:rsidRPr="00E60910" w:rsidRDefault="00F70FDB" w:rsidP="008B0FA5">
      <w:pPr>
        <w:pStyle w:val="Prrafodelista"/>
        <w:tabs>
          <w:tab w:val="left" w:pos="709"/>
        </w:tabs>
        <w:spacing w:after="0" w:line="240" w:lineRule="auto"/>
        <w:ind w:left="567"/>
        <w:jc w:val="both"/>
        <w:rPr>
          <w:rFonts w:ascii="Verdana" w:hAnsi="Verdana"/>
          <w:sz w:val="20"/>
          <w:szCs w:val="20"/>
        </w:rPr>
      </w:pPr>
    </w:p>
    <w:p w14:paraId="6B8B8AD3" w14:textId="77777777" w:rsidR="00E60910" w:rsidRDefault="00E60910" w:rsidP="00766CA6">
      <w:pPr>
        <w:tabs>
          <w:tab w:val="left" w:pos="0"/>
        </w:tabs>
        <w:spacing w:after="0" w:line="240" w:lineRule="auto"/>
        <w:jc w:val="both"/>
        <w:rPr>
          <w:rFonts w:ascii="Verdana" w:hAnsi="Verdana"/>
          <w:sz w:val="20"/>
          <w:szCs w:val="20"/>
        </w:rPr>
      </w:pPr>
    </w:p>
    <w:p w14:paraId="46CB2187" w14:textId="77777777" w:rsidR="00E60910" w:rsidRDefault="00A30F7E" w:rsidP="00766CA6">
      <w:pPr>
        <w:pStyle w:val="Prrafodelista"/>
        <w:numPr>
          <w:ilvl w:val="0"/>
          <w:numId w:val="48"/>
        </w:numPr>
        <w:tabs>
          <w:tab w:val="left" w:pos="0"/>
        </w:tabs>
        <w:spacing w:after="0" w:line="240" w:lineRule="auto"/>
        <w:ind w:left="1134" w:hanging="567"/>
        <w:jc w:val="both"/>
        <w:rPr>
          <w:rFonts w:ascii="Verdana" w:hAnsi="Verdana"/>
          <w:sz w:val="20"/>
          <w:szCs w:val="20"/>
        </w:rPr>
      </w:pPr>
      <w:r w:rsidRPr="00E60910">
        <w:rPr>
          <w:rFonts w:ascii="Verdana" w:hAnsi="Verdana"/>
          <w:sz w:val="20"/>
          <w:szCs w:val="20"/>
        </w:rPr>
        <w:t>Clase de título y emisor.</w:t>
      </w:r>
    </w:p>
    <w:p w14:paraId="09DCCA19" w14:textId="77777777" w:rsidR="00E60910" w:rsidRDefault="00E60910" w:rsidP="00766CA6">
      <w:pPr>
        <w:pStyle w:val="Prrafodelista"/>
        <w:tabs>
          <w:tab w:val="left" w:pos="0"/>
        </w:tabs>
        <w:spacing w:after="0" w:line="240" w:lineRule="auto"/>
        <w:ind w:left="1134"/>
        <w:jc w:val="both"/>
        <w:rPr>
          <w:rFonts w:ascii="Verdana" w:hAnsi="Verdana"/>
          <w:sz w:val="20"/>
          <w:szCs w:val="20"/>
        </w:rPr>
      </w:pPr>
    </w:p>
    <w:p w14:paraId="6443DDF5" w14:textId="77777777" w:rsidR="00E60910" w:rsidRDefault="00A30F7E" w:rsidP="00766CA6">
      <w:pPr>
        <w:pStyle w:val="Prrafodelista"/>
        <w:numPr>
          <w:ilvl w:val="0"/>
          <w:numId w:val="48"/>
        </w:numPr>
        <w:tabs>
          <w:tab w:val="left" w:pos="0"/>
        </w:tabs>
        <w:spacing w:after="0" w:line="240" w:lineRule="auto"/>
        <w:ind w:left="1134" w:hanging="567"/>
        <w:jc w:val="both"/>
        <w:rPr>
          <w:rFonts w:ascii="Verdana" w:hAnsi="Verdana"/>
          <w:sz w:val="20"/>
          <w:szCs w:val="20"/>
        </w:rPr>
      </w:pPr>
      <w:r w:rsidRPr="00E60910">
        <w:rPr>
          <w:rFonts w:ascii="Verdana" w:hAnsi="Verdana"/>
          <w:sz w:val="20"/>
          <w:szCs w:val="20"/>
        </w:rPr>
        <w:t>Fecha de emisión y vencimiento del título o valor, así como su valor nominal.</w:t>
      </w:r>
    </w:p>
    <w:p w14:paraId="1AA6DE1E" w14:textId="77777777" w:rsidR="00E60910" w:rsidRPr="00E60910" w:rsidRDefault="00E60910" w:rsidP="00766CA6">
      <w:pPr>
        <w:pStyle w:val="Prrafodelista"/>
        <w:jc w:val="both"/>
        <w:rPr>
          <w:rFonts w:ascii="Verdana" w:hAnsi="Verdana"/>
          <w:sz w:val="20"/>
          <w:szCs w:val="20"/>
        </w:rPr>
      </w:pPr>
    </w:p>
    <w:p w14:paraId="0822ECD9" w14:textId="77777777" w:rsidR="00E60910" w:rsidRDefault="00A30F7E" w:rsidP="00766CA6">
      <w:pPr>
        <w:pStyle w:val="Prrafodelista"/>
        <w:numPr>
          <w:ilvl w:val="0"/>
          <w:numId w:val="48"/>
        </w:numPr>
        <w:tabs>
          <w:tab w:val="left" w:pos="0"/>
        </w:tabs>
        <w:spacing w:after="0" w:line="240" w:lineRule="auto"/>
        <w:ind w:left="1134" w:hanging="567"/>
        <w:jc w:val="both"/>
        <w:rPr>
          <w:rFonts w:ascii="Verdana" w:hAnsi="Verdana"/>
          <w:sz w:val="20"/>
          <w:szCs w:val="20"/>
        </w:rPr>
      </w:pPr>
      <w:r w:rsidRPr="00E60910">
        <w:rPr>
          <w:rFonts w:ascii="Verdana" w:hAnsi="Verdana"/>
          <w:sz w:val="20"/>
          <w:szCs w:val="20"/>
        </w:rPr>
        <w:t>Manifestación expresa del compromiso irrevocable de compra y/o venta, señalando las fechas en que se harán efectivos tales compromisos y el valor de la operación.</w:t>
      </w:r>
    </w:p>
    <w:p w14:paraId="3EE4ED0A" w14:textId="77777777" w:rsidR="00E60910" w:rsidRPr="00E60910" w:rsidRDefault="00E60910" w:rsidP="00766CA6">
      <w:pPr>
        <w:pStyle w:val="Prrafodelista"/>
        <w:jc w:val="both"/>
        <w:rPr>
          <w:rFonts w:ascii="Verdana" w:hAnsi="Verdana"/>
          <w:sz w:val="20"/>
          <w:szCs w:val="20"/>
        </w:rPr>
      </w:pPr>
    </w:p>
    <w:p w14:paraId="308572C9" w14:textId="77777777" w:rsidR="00E60910" w:rsidRDefault="00A30F7E" w:rsidP="00766CA6">
      <w:pPr>
        <w:pStyle w:val="Prrafodelista"/>
        <w:numPr>
          <w:ilvl w:val="0"/>
          <w:numId w:val="48"/>
        </w:numPr>
        <w:tabs>
          <w:tab w:val="left" w:pos="0"/>
        </w:tabs>
        <w:spacing w:after="0" w:line="240" w:lineRule="auto"/>
        <w:ind w:left="1134" w:hanging="567"/>
        <w:jc w:val="both"/>
        <w:rPr>
          <w:rFonts w:ascii="Verdana" w:hAnsi="Verdana"/>
          <w:sz w:val="20"/>
          <w:szCs w:val="20"/>
        </w:rPr>
      </w:pPr>
      <w:r w:rsidRPr="00E60910">
        <w:rPr>
          <w:rFonts w:ascii="Verdana" w:hAnsi="Verdana"/>
          <w:sz w:val="20"/>
          <w:szCs w:val="20"/>
        </w:rPr>
        <w:t>Precio de compra y/o venta.</w:t>
      </w:r>
    </w:p>
    <w:p w14:paraId="0A915B12" w14:textId="77777777" w:rsidR="00E60910" w:rsidRPr="00E60910" w:rsidRDefault="00E60910" w:rsidP="00766CA6">
      <w:pPr>
        <w:pStyle w:val="Prrafodelista"/>
        <w:jc w:val="both"/>
        <w:rPr>
          <w:rFonts w:ascii="Verdana" w:hAnsi="Verdana"/>
          <w:sz w:val="20"/>
          <w:szCs w:val="20"/>
        </w:rPr>
      </w:pPr>
    </w:p>
    <w:p w14:paraId="32E5B655" w14:textId="77777777" w:rsidR="00E60910" w:rsidRDefault="00A30F7E" w:rsidP="00766CA6">
      <w:pPr>
        <w:pStyle w:val="Prrafodelista"/>
        <w:numPr>
          <w:ilvl w:val="0"/>
          <w:numId w:val="48"/>
        </w:numPr>
        <w:tabs>
          <w:tab w:val="left" w:pos="0"/>
        </w:tabs>
        <w:spacing w:after="0" w:line="240" w:lineRule="auto"/>
        <w:ind w:left="1134" w:hanging="567"/>
        <w:jc w:val="both"/>
        <w:rPr>
          <w:rFonts w:ascii="Verdana" w:hAnsi="Verdana"/>
          <w:sz w:val="20"/>
          <w:szCs w:val="20"/>
        </w:rPr>
      </w:pPr>
      <w:r w:rsidRPr="00E60910">
        <w:rPr>
          <w:rFonts w:ascii="Verdana" w:hAnsi="Verdana"/>
          <w:sz w:val="20"/>
          <w:szCs w:val="20"/>
        </w:rPr>
        <w:t>Cuando se trate del último comprador del título o valor, esta circunstancia debe especificarse claramente en la correspondiente carta.</w:t>
      </w:r>
    </w:p>
    <w:p w14:paraId="31909F97" w14:textId="77777777" w:rsidR="00E60910" w:rsidRPr="00E60910" w:rsidRDefault="00E60910" w:rsidP="00766CA6">
      <w:pPr>
        <w:pStyle w:val="Prrafodelista"/>
        <w:jc w:val="both"/>
        <w:rPr>
          <w:rFonts w:ascii="Verdana" w:hAnsi="Verdana"/>
          <w:sz w:val="20"/>
          <w:szCs w:val="20"/>
        </w:rPr>
      </w:pPr>
    </w:p>
    <w:p w14:paraId="7FEF6E21" w14:textId="6A49F916" w:rsidR="00A30F7E" w:rsidRPr="00E60910" w:rsidRDefault="00A30F7E" w:rsidP="00766CA6">
      <w:pPr>
        <w:pStyle w:val="Prrafodelista"/>
        <w:numPr>
          <w:ilvl w:val="0"/>
          <w:numId w:val="48"/>
        </w:numPr>
        <w:tabs>
          <w:tab w:val="left" w:pos="0"/>
        </w:tabs>
        <w:spacing w:after="0" w:line="240" w:lineRule="auto"/>
        <w:ind w:left="1134" w:hanging="567"/>
        <w:jc w:val="both"/>
        <w:rPr>
          <w:rFonts w:ascii="Verdana" w:hAnsi="Verdana"/>
          <w:sz w:val="20"/>
          <w:szCs w:val="20"/>
        </w:rPr>
      </w:pPr>
      <w:r w:rsidRPr="00E60910">
        <w:rPr>
          <w:rFonts w:ascii="Verdana" w:hAnsi="Verdana"/>
          <w:sz w:val="20"/>
          <w:szCs w:val="20"/>
        </w:rPr>
        <w:t>Señalamiento de la calidad de representante legal en la cual se actúa, o del origen del poder para obligar a la respectiva institución en la operación.</w:t>
      </w:r>
    </w:p>
    <w:p w14:paraId="7CE179C8" w14:textId="77777777" w:rsidR="008C72B6" w:rsidRDefault="008C72B6" w:rsidP="00766CA6">
      <w:pPr>
        <w:jc w:val="both"/>
        <w:rPr>
          <w:rFonts w:ascii="Verdana" w:hAnsi="Verdana"/>
          <w:sz w:val="20"/>
          <w:szCs w:val="20"/>
        </w:rPr>
      </w:pPr>
    </w:p>
    <w:p w14:paraId="5C5B1ABA" w14:textId="77777777" w:rsidR="00D65CB5" w:rsidRDefault="00D65CB5" w:rsidP="00766CA6">
      <w:pPr>
        <w:jc w:val="both"/>
        <w:rPr>
          <w:rFonts w:ascii="Verdana" w:hAnsi="Verdana"/>
          <w:b/>
          <w:bCs/>
          <w:sz w:val="20"/>
          <w:szCs w:val="20"/>
        </w:rPr>
      </w:pPr>
      <w:r>
        <w:rPr>
          <w:rFonts w:ascii="Verdana" w:hAnsi="Verdana"/>
          <w:b/>
          <w:bCs/>
          <w:sz w:val="20"/>
          <w:szCs w:val="20"/>
        </w:rPr>
        <w:br w:type="page"/>
      </w:r>
    </w:p>
    <w:p w14:paraId="7109F426" w14:textId="621F0DA3" w:rsidR="008C72B6" w:rsidRDefault="008C72B6" w:rsidP="00766CA6">
      <w:pPr>
        <w:spacing w:after="0"/>
        <w:jc w:val="both"/>
        <w:rPr>
          <w:rFonts w:ascii="Verdana" w:hAnsi="Verdana"/>
          <w:b/>
          <w:bCs/>
          <w:sz w:val="20"/>
          <w:szCs w:val="20"/>
        </w:rPr>
      </w:pPr>
      <w:r>
        <w:rPr>
          <w:rFonts w:ascii="Verdana" w:hAnsi="Verdana"/>
          <w:b/>
          <w:bCs/>
          <w:sz w:val="20"/>
          <w:szCs w:val="20"/>
        </w:rPr>
        <w:lastRenderedPageBreak/>
        <w:t xml:space="preserve">GESTIÓN DEL </w:t>
      </w:r>
      <w:r w:rsidRPr="00A810C8">
        <w:rPr>
          <w:rFonts w:ascii="Verdana" w:hAnsi="Verdana"/>
          <w:b/>
          <w:bCs/>
          <w:sz w:val="20"/>
          <w:szCs w:val="20"/>
        </w:rPr>
        <w:t xml:space="preserve">RIESGO </w:t>
      </w:r>
      <w:r w:rsidR="004D3FF2" w:rsidRPr="004D3FF2">
        <w:rPr>
          <w:rFonts w:ascii="Verdana" w:hAnsi="Verdana"/>
          <w:b/>
          <w:bCs/>
          <w:sz w:val="20"/>
          <w:szCs w:val="20"/>
        </w:rPr>
        <w:t>OPERACIONAL</w:t>
      </w:r>
    </w:p>
    <w:p w14:paraId="25E857CF" w14:textId="77777777" w:rsidR="008C72B6" w:rsidRDefault="008C72B6" w:rsidP="00766CA6">
      <w:pPr>
        <w:spacing w:after="0"/>
        <w:jc w:val="both"/>
        <w:rPr>
          <w:rFonts w:ascii="Verdana" w:hAnsi="Verdana"/>
          <w:sz w:val="20"/>
          <w:szCs w:val="20"/>
        </w:rPr>
      </w:pPr>
    </w:p>
    <w:p w14:paraId="5D7D595E" w14:textId="67B5D74F" w:rsidR="008C72B6" w:rsidRPr="007735FE" w:rsidRDefault="008C72B6" w:rsidP="00766CA6">
      <w:pPr>
        <w:jc w:val="both"/>
        <w:rPr>
          <w:rFonts w:ascii="Verdana" w:hAnsi="Verdana"/>
          <w:b/>
          <w:bCs/>
          <w:sz w:val="20"/>
          <w:szCs w:val="20"/>
        </w:rPr>
      </w:pPr>
      <w:r>
        <w:rPr>
          <w:rFonts w:ascii="Verdana" w:hAnsi="Verdana"/>
          <w:b/>
          <w:bCs/>
          <w:sz w:val="20"/>
          <w:szCs w:val="20"/>
        </w:rPr>
        <w:t xml:space="preserve">Definición de riesgo </w:t>
      </w:r>
      <w:r w:rsidR="00B13D84" w:rsidRPr="00B13D84">
        <w:rPr>
          <w:rFonts w:ascii="Verdana" w:hAnsi="Verdana"/>
          <w:b/>
          <w:bCs/>
          <w:sz w:val="20"/>
          <w:szCs w:val="20"/>
        </w:rPr>
        <w:t>operacional</w:t>
      </w:r>
    </w:p>
    <w:p w14:paraId="2CDA5BB1" w14:textId="6E108597" w:rsidR="008C72B6" w:rsidRPr="000001A2" w:rsidRDefault="008C72B6" w:rsidP="00766CA6">
      <w:pPr>
        <w:spacing w:after="0"/>
        <w:jc w:val="both"/>
        <w:rPr>
          <w:rFonts w:ascii="Verdana" w:hAnsi="Verdana"/>
          <w:sz w:val="20"/>
          <w:szCs w:val="20"/>
        </w:rPr>
      </w:pPr>
      <w:r>
        <w:rPr>
          <w:rFonts w:ascii="Verdana" w:hAnsi="Verdana"/>
          <w:sz w:val="20"/>
          <w:szCs w:val="20"/>
        </w:rPr>
        <w:t>1.1.2.</w:t>
      </w:r>
      <w:r w:rsidR="00B13D84">
        <w:rPr>
          <w:rFonts w:ascii="Verdana" w:hAnsi="Verdana"/>
          <w:sz w:val="20"/>
          <w:szCs w:val="20"/>
        </w:rPr>
        <w:t>114</w:t>
      </w:r>
      <w:r>
        <w:rPr>
          <w:rFonts w:ascii="Verdana" w:hAnsi="Verdana"/>
          <w:sz w:val="20"/>
          <w:szCs w:val="20"/>
        </w:rPr>
        <w:t>.</w:t>
      </w:r>
    </w:p>
    <w:p w14:paraId="4FFC6865" w14:textId="67AA6B58" w:rsidR="008C72B6" w:rsidRDefault="00443E68" w:rsidP="00766CA6">
      <w:pPr>
        <w:jc w:val="both"/>
        <w:rPr>
          <w:rFonts w:ascii="Verdana" w:hAnsi="Verdana"/>
          <w:sz w:val="20"/>
          <w:szCs w:val="20"/>
        </w:rPr>
      </w:pPr>
      <w:r w:rsidRPr="00443E68">
        <w:rPr>
          <w:rFonts w:ascii="Verdana" w:hAnsi="Verdana"/>
          <w:sz w:val="20"/>
          <w:szCs w:val="20"/>
        </w:rPr>
        <w:t xml:space="preserve">Es la posibilidad de que la entidad incurra en pérdidas por las deficiencias, fallas o inadecuado funcionamiento de los procesos, la tecnología, la infraestructura o el recurso humano, así como por la ocurrencia de acontecimientos externos asociados a éstos. </w:t>
      </w:r>
      <w:r w:rsidR="006F47DB">
        <w:rPr>
          <w:rFonts w:ascii="Verdana" w:hAnsi="Verdana"/>
          <w:sz w:val="20"/>
          <w:szCs w:val="20"/>
        </w:rPr>
        <w:t>El riesgo operacional i</w:t>
      </w:r>
      <w:r w:rsidRPr="00443E68">
        <w:rPr>
          <w:rFonts w:ascii="Verdana" w:hAnsi="Verdana"/>
          <w:sz w:val="20"/>
          <w:szCs w:val="20"/>
        </w:rPr>
        <w:t>ncluye el riesgo legal.</w:t>
      </w:r>
    </w:p>
    <w:p w14:paraId="13736331" w14:textId="1D2E33E1" w:rsidR="006F7FFB" w:rsidRPr="000001A2" w:rsidRDefault="006F7FFB" w:rsidP="00766CA6">
      <w:pPr>
        <w:spacing w:after="0"/>
        <w:jc w:val="both"/>
        <w:rPr>
          <w:rFonts w:ascii="Verdana" w:hAnsi="Verdana"/>
          <w:sz w:val="20"/>
          <w:szCs w:val="20"/>
        </w:rPr>
      </w:pPr>
      <w:r>
        <w:rPr>
          <w:rFonts w:ascii="Verdana" w:hAnsi="Verdana"/>
          <w:sz w:val="20"/>
          <w:szCs w:val="20"/>
        </w:rPr>
        <w:t>1.1.2.11</w:t>
      </w:r>
      <w:r w:rsidR="005840EC">
        <w:rPr>
          <w:rFonts w:ascii="Verdana" w:hAnsi="Verdana"/>
          <w:sz w:val="20"/>
          <w:szCs w:val="20"/>
        </w:rPr>
        <w:t>5</w:t>
      </w:r>
      <w:r>
        <w:rPr>
          <w:rFonts w:ascii="Verdana" w:hAnsi="Verdana"/>
          <w:sz w:val="20"/>
          <w:szCs w:val="20"/>
        </w:rPr>
        <w:t>.</w:t>
      </w:r>
    </w:p>
    <w:p w14:paraId="3D4D769B" w14:textId="145B0152" w:rsidR="006F47DB" w:rsidRDefault="006F47DB" w:rsidP="00766CA6">
      <w:pPr>
        <w:jc w:val="both"/>
        <w:rPr>
          <w:rFonts w:ascii="Verdana" w:hAnsi="Verdana"/>
          <w:sz w:val="20"/>
          <w:szCs w:val="20"/>
        </w:rPr>
      </w:pPr>
      <w:r>
        <w:rPr>
          <w:rFonts w:ascii="Verdana" w:hAnsi="Verdana"/>
          <w:sz w:val="20"/>
          <w:szCs w:val="20"/>
        </w:rPr>
        <w:t>El r</w:t>
      </w:r>
      <w:r w:rsidRPr="006F47DB">
        <w:rPr>
          <w:rFonts w:ascii="Verdana" w:hAnsi="Verdana"/>
          <w:sz w:val="20"/>
          <w:szCs w:val="20"/>
        </w:rPr>
        <w:t>iesgo Legal (RLG)</w:t>
      </w:r>
      <w:r>
        <w:rPr>
          <w:rFonts w:ascii="Verdana" w:hAnsi="Verdana"/>
          <w:sz w:val="20"/>
          <w:szCs w:val="20"/>
        </w:rPr>
        <w:t xml:space="preserve"> es </w:t>
      </w:r>
      <w:r w:rsidRPr="006F47DB">
        <w:rPr>
          <w:rFonts w:ascii="Verdana" w:hAnsi="Verdana"/>
          <w:sz w:val="20"/>
          <w:szCs w:val="20"/>
        </w:rPr>
        <w:t>la posibilidad de pérdida en que incurre una entidad al ser sancionada u obligada a indemnizar daños como resultado del incumplimiento de normas o regulaciones y obligaciones contractuales.</w:t>
      </w:r>
      <w:r w:rsidR="00502A50">
        <w:rPr>
          <w:rFonts w:ascii="Verdana" w:hAnsi="Verdana"/>
          <w:sz w:val="20"/>
          <w:szCs w:val="20"/>
        </w:rPr>
        <w:t xml:space="preserve"> </w:t>
      </w:r>
      <w:r w:rsidR="00502A50" w:rsidRPr="00502A50">
        <w:rPr>
          <w:rFonts w:ascii="Verdana" w:hAnsi="Verdana"/>
          <w:sz w:val="20"/>
          <w:szCs w:val="20"/>
        </w:rPr>
        <w:t>El riesgo legal surge también como consecuencia de fallas en los contratos y transacciones, derivadas de actuaciones malintencionadas, negligencia o actos involuntarios que afectan la formalización o ejecución de contratos o transacciones. Aplica a todas las actividades e incluye a terceros que actúen en representación de la entidad respecto de los procesos y/o actividades tercerizadas</w:t>
      </w:r>
      <w:r w:rsidR="00E9729D">
        <w:rPr>
          <w:rFonts w:ascii="Verdana" w:hAnsi="Verdana"/>
          <w:sz w:val="20"/>
          <w:szCs w:val="20"/>
        </w:rPr>
        <w:t>.</w:t>
      </w:r>
    </w:p>
    <w:p w14:paraId="41C8C1BE" w14:textId="75784355" w:rsidR="005840EC" w:rsidRPr="000001A2" w:rsidRDefault="005840EC" w:rsidP="00766CA6">
      <w:pPr>
        <w:spacing w:after="0"/>
        <w:jc w:val="both"/>
        <w:rPr>
          <w:rFonts w:ascii="Verdana" w:hAnsi="Verdana"/>
          <w:sz w:val="20"/>
          <w:szCs w:val="20"/>
        </w:rPr>
      </w:pPr>
      <w:r>
        <w:rPr>
          <w:rFonts w:ascii="Verdana" w:hAnsi="Verdana"/>
          <w:sz w:val="20"/>
          <w:szCs w:val="20"/>
        </w:rPr>
        <w:t>1.1.2.116.</w:t>
      </w:r>
    </w:p>
    <w:p w14:paraId="21E02BA8" w14:textId="77777777" w:rsidR="007229E9" w:rsidRDefault="005840EC" w:rsidP="00766CA6">
      <w:pPr>
        <w:jc w:val="both"/>
        <w:rPr>
          <w:rFonts w:ascii="Verdana" w:hAnsi="Verdana"/>
          <w:sz w:val="20"/>
          <w:szCs w:val="20"/>
        </w:rPr>
      </w:pPr>
      <w:r w:rsidRPr="005840EC">
        <w:rPr>
          <w:rFonts w:ascii="Verdana" w:hAnsi="Verdana"/>
          <w:sz w:val="20"/>
          <w:szCs w:val="20"/>
        </w:rPr>
        <w:t>Adicionalmente, para propósitos de la gestión del riesgo operacional se debe tener en cuenta las siguientes definiciones:</w:t>
      </w:r>
    </w:p>
    <w:p w14:paraId="56D0C750" w14:textId="77777777" w:rsidR="007229E9" w:rsidRDefault="005840EC" w:rsidP="00766CA6">
      <w:pPr>
        <w:pStyle w:val="Prrafodelista"/>
        <w:numPr>
          <w:ilvl w:val="1"/>
          <w:numId w:val="46"/>
        </w:numPr>
        <w:ind w:left="567" w:hanging="567"/>
        <w:jc w:val="both"/>
        <w:rPr>
          <w:rFonts w:ascii="Verdana" w:hAnsi="Verdana"/>
          <w:sz w:val="20"/>
          <w:szCs w:val="20"/>
        </w:rPr>
      </w:pPr>
      <w:r w:rsidRPr="007229E9">
        <w:rPr>
          <w:rFonts w:ascii="Verdana" w:hAnsi="Verdana"/>
          <w:sz w:val="20"/>
          <w:szCs w:val="20"/>
        </w:rPr>
        <w:t xml:space="preserve">Pérdidas: </w:t>
      </w:r>
      <w:r w:rsidR="007229E9">
        <w:rPr>
          <w:rFonts w:ascii="Verdana" w:hAnsi="Verdana"/>
          <w:sz w:val="20"/>
          <w:szCs w:val="20"/>
        </w:rPr>
        <w:t>c</w:t>
      </w:r>
      <w:r w:rsidRPr="007229E9">
        <w:rPr>
          <w:rFonts w:ascii="Verdana" w:hAnsi="Verdana"/>
          <w:sz w:val="20"/>
          <w:szCs w:val="20"/>
        </w:rPr>
        <w:t>uantificación económica de la ocurrencia de un evento de riesgo operacional, así como los gastos derivados de su atención.</w:t>
      </w:r>
    </w:p>
    <w:p w14:paraId="6A9C57E5" w14:textId="77777777" w:rsidR="007229E9" w:rsidRDefault="007229E9" w:rsidP="00766CA6">
      <w:pPr>
        <w:pStyle w:val="Prrafodelista"/>
        <w:ind w:left="567"/>
        <w:jc w:val="both"/>
        <w:rPr>
          <w:rFonts w:ascii="Verdana" w:hAnsi="Verdana"/>
          <w:sz w:val="20"/>
          <w:szCs w:val="20"/>
        </w:rPr>
      </w:pPr>
    </w:p>
    <w:p w14:paraId="5875B022" w14:textId="77777777" w:rsidR="007229E9" w:rsidRDefault="005840EC" w:rsidP="00766CA6">
      <w:pPr>
        <w:pStyle w:val="Prrafodelista"/>
        <w:numPr>
          <w:ilvl w:val="1"/>
          <w:numId w:val="46"/>
        </w:numPr>
        <w:ind w:left="567" w:hanging="567"/>
        <w:jc w:val="both"/>
        <w:rPr>
          <w:rFonts w:ascii="Verdana" w:hAnsi="Verdana"/>
          <w:sz w:val="20"/>
          <w:szCs w:val="20"/>
        </w:rPr>
      </w:pPr>
      <w:r w:rsidRPr="007229E9">
        <w:rPr>
          <w:rFonts w:ascii="Verdana" w:hAnsi="Verdana"/>
          <w:sz w:val="20"/>
          <w:szCs w:val="20"/>
        </w:rPr>
        <w:t xml:space="preserve">Pérdida Bruta: </w:t>
      </w:r>
      <w:r w:rsidR="007229E9">
        <w:rPr>
          <w:rFonts w:ascii="Verdana" w:hAnsi="Verdana"/>
          <w:sz w:val="20"/>
          <w:szCs w:val="20"/>
        </w:rPr>
        <w:t>s</w:t>
      </w:r>
      <w:r w:rsidRPr="007229E9">
        <w:rPr>
          <w:rFonts w:ascii="Verdana" w:hAnsi="Verdana"/>
          <w:sz w:val="20"/>
          <w:szCs w:val="20"/>
        </w:rPr>
        <w:t>e entiende como la pérdida antes de recuperaciones de cualquier tipo.</w:t>
      </w:r>
    </w:p>
    <w:p w14:paraId="35F2E81C" w14:textId="77777777" w:rsidR="007229E9" w:rsidRPr="007229E9" w:rsidRDefault="007229E9" w:rsidP="00766CA6">
      <w:pPr>
        <w:pStyle w:val="Prrafodelista"/>
        <w:jc w:val="both"/>
        <w:rPr>
          <w:rFonts w:ascii="Verdana" w:hAnsi="Verdana"/>
          <w:sz w:val="20"/>
          <w:szCs w:val="20"/>
        </w:rPr>
      </w:pPr>
    </w:p>
    <w:p w14:paraId="132045A8" w14:textId="56FA1DEA" w:rsidR="006F7FFB" w:rsidRPr="007229E9" w:rsidRDefault="006F7FFB" w:rsidP="00766CA6">
      <w:pPr>
        <w:pStyle w:val="Prrafodelista"/>
        <w:numPr>
          <w:ilvl w:val="1"/>
          <w:numId w:val="46"/>
        </w:numPr>
        <w:ind w:left="567" w:hanging="567"/>
        <w:jc w:val="both"/>
        <w:rPr>
          <w:rFonts w:ascii="Verdana" w:hAnsi="Verdana"/>
          <w:sz w:val="20"/>
          <w:szCs w:val="20"/>
        </w:rPr>
      </w:pPr>
      <w:r w:rsidRPr="007229E9">
        <w:rPr>
          <w:rFonts w:ascii="Verdana" w:hAnsi="Verdana"/>
          <w:sz w:val="20"/>
          <w:szCs w:val="20"/>
        </w:rPr>
        <w:t xml:space="preserve">Pérdida </w:t>
      </w:r>
      <w:r w:rsidR="007229E9">
        <w:rPr>
          <w:rFonts w:ascii="Verdana" w:hAnsi="Verdana"/>
          <w:sz w:val="20"/>
          <w:szCs w:val="20"/>
        </w:rPr>
        <w:t>n</w:t>
      </w:r>
      <w:r w:rsidRPr="007229E9">
        <w:rPr>
          <w:rFonts w:ascii="Verdana" w:hAnsi="Verdana"/>
          <w:sz w:val="20"/>
          <w:szCs w:val="20"/>
        </w:rPr>
        <w:t xml:space="preserve">eta: </w:t>
      </w:r>
      <w:r w:rsidR="00E62F20">
        <w:rPr>
          <w:rFonts w:ascii="Verdana" w:hAnsi="Verdana"/>
          <w:sz w:val="20"/>
          <w:szCs w:val="20"/>
        </w:rPr>
        <w:t>para efectos de riesgo operacional</w:t>
      </w:r>
      <w:r w:rsidR="00D2254E">
        <w:rPr>
          <w:rFonts w:ascii="Verdana" w:hAnsi="Verdana"/>
          <w:sz w:val="20"/>
          <w:szCs w:val="20"/>
        </w:rPr>
        <w:t>,</w:t>
      </w:r>
      <w:r w:rsidR="00E62F20">
        <w:rPr>
          <w:rFonts w:ascii="Verdana" w:hAnsi="Verdana"/>
          <w:sz w:val="20"/>
          <w:szCs w:val="20"/>
        </w:rPr>
        <w:t xml:space="preserve"> </w:t>
      </w:r>
      <w:r w:rsidR="007229E9">
        <w:rPr>
          <w:rFonts w:ascii="Verdana" w:hAnsi="Verdana"/>
          <w:sz w:val="20"/>
          <w:szCs w:val="20"/>
        </w:rPr>
        <w:t>s</w:t>
      </w:r>
      <w:r w:rsidRPr="007229E9">
        <w:rPr>
          <w:rFonts w:ascii="Verdana" w:hAnsi="Verdana"/>
          <w:sz w:val="20"/>
          <w:szCs w:val="20"/>
        </w:rPr>
        <w:t>e entiende como la pérdida después de tener en consideración los efectos de las recuperaciones. La recuperación es un hecho independiente, relacionado con el evento de pérdida bruta, que no necesariamente se efectúa en el mismo periodo por el que se perciben fondos o flujos económicos.</w:t>
      </w:r>
    </w:p>
    <w:p w14:paraId="213DD564" w14:textId="77777777" w:rsidR="008C72B6" w:rsidRPr="007735FE" w:rsidRDefault="008C72B6" w:rsidP="00766CA6">
      <w:pPr>
        <w:jc w:val="both"/>
        <w:rPr>
          <w:rFonts w:ascii="Verdana" w:hAnsi="Verdana"/>
          <w:b/>
          <w:bCs/>
          <w:sz w:val="20"/>
          <w:szCs w:val="20"/>
        </w:rPr>
      </w:pPr>
      <w:r>
        <w:rPr>
          <w:rFonts w:ascii="Verdana" w:hAnsi="Verdana"/>
          <w:b/>
          <w:bCs/>
          <w:sz w:val="20"/>
          <w:szCs w:val="20"/>
        </w:rPr>
        <w:t>Ámbito de aplicación</w:t>
      </w:r>
    </w:p>
    <w:p w14:paraId="5C3029FA" w14:textId="5654A1CA" w:rsidR="008C72B6" w:rsidRPr="000001A2" w:rsidRDefault="008C72B6" w:rsidP="00766CA6">
      <w:pPr>
        <w:spacing w:after="0"/>
        <w:jc w:val="both"/>
        <w:rPr>
          <w:rFonts w:ascii="Verdana" w:hAnsi="Verdana"/>
          <w:sz w:val="20"/>
          <w:szCs w:val="20"/>
        </w:rPr>
      </w:pPr>
      <w:r>
        <w:rPr>
          <w:rFonts w:ascii="Verdana" w:hAnsi="Verdana"/>
          <w:sz w:val="20"/>
          <w:szCs w:val="20"/>
        </w:rPr>
        <w:t>1.1.2.</w:t>
      </w:r>
      <w:r w:rsidR="000A24C0">
        <w:rPr>
          <w:rFonts w:ascii="Verdana" w:hAnsi="Verdana"/>
          <w:sz w:val="20"/>
          <w:szCs w:val="20"/>
        </w:rPr>
        <w:t>117</w:t>
      </w:r>
      <w:r>
        <w:rPr>
          <w:rFonts w:ascii="Verdana" w:hAnsi="Verdana"/>
          <w:sz w:val="20"/>
          <w:szCs w:val="20"/>
        </w:rPr>
        <w:t>.</w:t>
      </w:r>
    </w:p>
    <w:p w14:paraId="3A4E4842" w14:textId="6D579A06" w:rsidR="0041205F" w:rsidRPr="00D65CB5" w:rsidRDefault="000A24C0" w:rsidP="00766CA6">
      <w:pPr>
        <w:jc w:val="both"/>
        <w:rPr>
          <w:rFonts w:ascii="Verdana" w:hAnsi="Verdana"/>
          <w:sz w:val="20"/>
          <w:szCs w:val="20"/>
        </w:rPr>
      </w:pPr>
      <w:r w:rsidRPr="000A24C0">
        <w:rPr>
          <w:rFonts w:ascii="Verdana" w:hAnsi="Verdana"/>
          <w:sz w:val="20"/>
          <w:szCs w:val="20"/>
        </w:rPr>
        <w:t>Las entidades sometidas a la inspección y vigilancia de la SFC</w:t>
      </w:r>
      <w:r w:rsidR="00224048">
        <w:rPr>
          <w:rFonts w:ascii="Verdana" w:hAnsi="Verdana"/>
          <w:sz w:val="20"/>
          <w:szCs w:val="20"/>
        </w:rPr>
        <w:t xml:space="preserve"> </w:t>
      </w:r>
      <w:r w:rsidRPr="000A24C0">
        <w:rPr>
          <w:rFonts w:ascii="Verdana" w:hAnsi="Verdana"/>
          <w:sz w:val="20"/>
          <w:szCs w:val="20"/>
        </w:rPr>
        <w:t xml:space="preserve">deben cumplir con las instrucciones contenidas en </w:t>
      </w:r>
      <w:r w:rsidR="00532B0C">
        <w:rPr>
          <w:rFonts w:ascii="Verdana" w:hAnsi="Verdana"/>
          <w:sz w:val="20"/>
          <w:szCs w:val="20"/>
        </w:rPr>
        <w:t>la presente sección</w:t>
      </w:r>
      <w:r w:rsidR="00555F27">
        <w:rPr>
          <w:rFonts w:ascii="Verdana" w:hAnsi="Verdana"/>
          <w:sz w:val="20"/>
          <w:szCs w:val="20"/>
        </w:rPr>
        <w:t xml:space="preserve"> respecto del riesgo operacional</w:t>
      </w:r>
      <w:r w:rsidRPr="000A24C0">
        <w:rPr>
          <w:rFonts w:ascii="Verdana" w:hAnsi="Verdana"/>
          <w:sz w:val="20"/>
          <w:szCs w:val="20"/>
        </w:rPr>
        <w:t>.</w:t>
      </w:r>
    </w:p>
    <w:p w14:paraId="05277741" w14:textId="2FBB2A30" w:rsidR="008C72B6" w:rsidRPr="007735FE" w:rsidRDefault="008C72B6" w:rsidP="00766CA6">
      <w:pPr>
        <w:jc w:val="both"/>
        <w:rPr>
          <w:rFonts w:ascii="Verdana" w:hAnsi="Verdana"/>
          <w:b/>
          <w:bCs/>
          <w:sz w:val="20"/>
          <w:szCs w:val="20"/>
        </w:rPr>
      </w:pPr>
      <w:r>
        <w:rPr>
          <w:rFonts w:ascii="Verdana" w:hAnsi="Verdana"/>
          <w:b/>
          <w:bCs/>
          <w:sz w:val="20"/>
          <w:szCs w:val="20"/>
        </w:rPr>
        <w:t>Componentes</w:t>
      </w:r>
    </w:p>
    <w:p w14:paraId="14E0D844" w14:textId="77777777" w:rsidR="0041205F" w:rsidRDefault="006319DD" w:rsidP="00766CA6">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.1.2.118.</w:t>
      </w:r>
    </w:p>
    <w:p w14:paraId="1AE7EDF3" w14:textId="254603A3" w:rsidR="0041205F" w:rsidRDefault="0041205F" w:rsidP="00766CA6">
      <w:pPr>
        <w:spacing w:after="0"/>
        <w:jc w:val="both"/>
        <w:rPr>
          <w:rFonts w:ascii="Verdana" w:hAnsi="Verdana"/>
          <w:sz w:val="20"/>
          <w:szCs w:val="20"/>
        </w:rPr>
      </w:pPr>
      <w:r w:rsidRPr="0041205F">
        <w:rPr>
          <w:rFonts w:ascii="Verdana" w:hAnsi="Verdana"/>
          <w:sz w:val="20"/>
          <w:szCs w:val="20"/>
        </w:rPr>
        <w:t xml:space="preserve">La entidad debe desarrollar, establecer, implementar y mantener una gestión del riesgo operacional, acorde con su importancia por tamaño e interconectividad en el sistema financiero y los entornos económicos y de los mercados en donde esta </w:t>
      </w:r>
      <w:proofErr w:type="spellStart"/>
      <w:r w:rsidRPr="0041205F">
        <w:rPr>
          <w:rFonts w:ascii="Verdana" w:hAnsi="Verdana"/>
          <w:sz w:val="20"/>
          <w:szCs w:val="20"/>
        </w:rPr>
        <w:t>opera</w:t>
      </w:r>
      <w:proofErr w:type="spellEnd"/>
      <w:r w:rsidRPr="0041205F">
        <w:rPr>
          <w:rFonts w:ascii="Verdana" w:hAnsi="Verdana"/>
          <w:sz w:val="20"/>
          <w:szCs w:val="20"/>
        </w:rPr>
        <w:t>, así como con el perfil y marco de apetito de riesgo, plan de negocio, naturaleza, estructura, tamaño, complejidad, diversidad de las actividades que desarrolle y actividades de apoyo, estas últimas realizadas directamente o a través de terceros, que les permita identificar, medir, controlar y monitorear eficazmente este riesgo. Para llevar a cabo dicha gestión deben existir las políticas, procedimientos, controles, metodologías, modelos y sistemas de información para su instrumentación.</w:t>
      </w:r>
    </w:p>
    <w:p w14:paraId="2DB85A46" w14:textId="77777777" w:rsidR="0041205F" w:rsidRPr="0041205F" w:rsidRDefault="0041205F" w:rsidP="00766CA6">
      <w:pPr>
        <w:spacing w:after="0"/>
        <w:jc w:val="both"/>
        <w:rPr>
          <w:rFonts w:ascii="Verdana" w:hAnsi="Verdana"/>
          <w:sz w:val="20"/>
          <w:szCs w:val="20"/>
        </w:rPr>
      </w:pPr>
    </w:p>
    <w:p w14:paraId="1EAF41E6" w14:textId="77777777" w:rsidR="008C72B6" w:rsidRPr="007735FE" w:rsidRDefault="008C72B6" w:rsidP="00766CA6">
      <w:pPr>
        <w:jc w:val="both"/>
        <w:rPr>
          <w:rFonts w:ascii="Verdana" w:hAnsi="Verdana"/>
          <w:b/>
          <w:bCs/>
          <w:sz w:val="20"/>
          <w:szCs w:val="20"/>
        </w:rPr>
      </w:pPr>
      <w:r>
        <w:rPr>
          <w:rFonts w:ascii="Verdana" w:hAnsi="Verdana"/>
          <w:b/>
          <w:bCs/>
          <w:sz w:val="20"/>
          <w:szCs w:val="20"/>
        </w:rPr>
        <w:t>Etapas</w:t>
      </w:r>
    </w:p>
    <w:p w14:paraId="447FD272" w14:textId="059D6B01" w:rsidR="008C72B6" w:rsidRPr="00443A04" w:rsidRDefault="008C72B6" w:rsidP="00766CA6">
      <w:pPr>
        <w:spacing w:after="0"/>
        <w:jc w:val="both"/>
        <w:rPr>
          <w:rFonts w:ascii="Verdana" w:hAnsi="Verdana"/>
          <w:sz w:val="20"/>
          <w:szCs w:val="20"/>
        </w:rPr>
      </w:pPr>
      <w:r>
        <w:rPr>
          <w:rFonts w:ascii="Verdana" w:hAnsi="Verdana"/>
          <w:sz w:val="20"/>
          <w:szCs w:val="20"/>
        </w:rPr>
        <w:t>1.1.2.</w:t>
      </w:r>
      <w:r w:rsidR="00600A8A">
        <w:rPr>
          <w:rFonts w:ascii="Verdana" w:hAnsi="Verdana"/>
          <w:sz w:val="20"/>
          <w:szCs w:val="20"/>
        </w:rPr>
        <w:t>1</w:t>
      </w:r>
      <w:r w:rsidR="0041205F">
        <w:rPr>
          <w:rFonts w:ascii="Verdana" w:hAnsi="Verdana"/>
          <w:sz w:val="20"/>
          <w:szCs w:val="20"/>
        </w:rPr>
        <w:t>19</w:t>
      </w:r>
      <w:r>
        <w:rPr>
          <w:rFonts w:ascii="Verdana" w:hAnsi="Verdana"/>
          <w:sz w:val="20"/>
          <w:szCs w:val="20"/>
        </w:rPr>
        <w:t>.</w:t>
      </w:r>
    </w:p>
    <w:p w14:paraId="76B93A99" w14:textId="3D5E1CA9" w:rsidR="008C72B6" w:rsidRPr="00443A04" w:rsidRDefault="00EE623B" w:rsidP="00766CA6">
      <w:pPr>
        <w:jc w:val="both"/>
        <w:rPr>
          <w:rFonts w:ascii="Verdana" w:hAnsi="Verdana"/>
          <w:sz w:val="20"/>
          <w:szCs w:val="20"/>
        </w:rPr>
      </w:pPr>
      <w:r w:rsidRPr="00EE623B">
        <w:rPr>
          <w:rFonts w:ascii="Verdana" w:hAnsi="Verdana"/>
          <w:sz w:val="20"/>
          <w:szCs w:val="20"/>
        </w:rPr>
        <w:t>Para la administración del riesgo operacional, la entidad debe desarrollar las siguientes etapas</w:t>
      </w:r>
      <w:r w:rsidR="008C72B6" w:rsidRPr="00640CED">
        <w:rPr>
          <w:rFonts w:ascii="Verdana" w:hAnsi="Verdana"/>
          <w:sz w:val="20"/>
          <w:szCs w:val="20"/>
        </w:rPr>
        <w:t>:</w:t>
      </w:r>
    </w:p>
    <w:p w14:paraId="3B0A01F5" w14:textId="77777777" w:rsidR="008C72B6" w:rsidRPr="00732E97" w:rsidRDefault="008C72B6"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Identificación</w:t>
      </w:r>
    </w:p>
    <w:p w14:paraId="09F9EFF2" w14:textId="14DE7EEB" w:rsidR="008C72B6" w:rsidRPr="0086035E" w:rsidRDefault="008C72B6"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600A8A">
        <w:rPr>
          <w:rFonts w:ascii="Verdana" w:hAnsi="Verdana"/>
          <w:sz w:val="20"/>
          <w:szCs w:val="20"/>
        </w:rPr>
        <w:t>12</w:t>
      </w:r>
      <w:r w:rsidR="00E9729D">
        <w:rPr>
          <w:rFonts w:ascii="Verdana" w:hAnsi="Verdana"/>
          <w:sz w:val="20"/>
          <w:szCs w:val="20"/>
        </w:rPr>
        <w:t>0</w:t>
      </w:r>
      <w:r w:rsidRPr="0086035E">
        <w:rPr>
          <w:rFonts w:ascii="Verdana" w:hAnsi="Verdana"/>
          <w:sz w:val="20"/>
          <w:szCs w:val="20"/>
        </w:rPr>
        <w:t>.</w:t>
      </w:r>
    </w:p>
    <w:p w14:paraId="1FF96853" w14:textId="5C610BEC" w:rsidR="00530728" w:rsidRDefault="00A175B1" w:rsidP="00766CA6">
      <w:pPr>
        <w:jc w:val="both"/>
        <w:rPr>
          <w:rFonts w:ascii="Verdana" w:hAnsi="Verdana"/>
          <w:sz w:val="20"/>
          <w:szCs w:val="20"/>
        </w:rPr>
      </w:pPr>
      <w:r w:rsidRPr="00A175B1">
        <w:rPr>
          <w:rFonts w:ascii="Verdana" w:hAnsi="Verdana"/>
          <w:sz w:val="20"/>
          <w:szCs w:val="20"/>
        </w:rPr>
        <w:t>La entidad debe identificar los riesgos operacionales a que está expuesta, teniendo en cuenta los factores de riesgo internos o externos</w:t>
      </w:r>
      <w:r w:rsidR="00530728">
        <w:rPr>
          <w:rFonts w:ascii="Verdana" w:hAnsi="Verdana"/>
          <w:sz w:val="20"/>
          <w:szCs w:val="20"/>
        </w:rPr>
        <w:t>.</w:t>
      </w:r>
    </w:p>
    <w:p w14:paraId="72054F58" w14:textId="3E240E65" w:rsidR="00E9729D" w:rsidRPr="000001A2" w:rsidRDefault="00530728" w:rsidP="00766CA6">
      <w:pPr>
        <w:spacing w:after="0"/>
        <w:jc w:val="both"/>
        <w:rPr>
          <w:rFonts w:ascii="Verdana" w:hAnsi="Verdana"/>
          <w:sz w:val="20"/>
          <w:szCs w:val="20"/>
        </w:rPr>
      </w:pPr>
      <w:r>
        <w:rPr>
          <w:rFonts w:ascii="Verdana" w:hAnsi="Verdana"/>
          <w:sz w:val="20"/>
          <w:szCs w:val="20"/>
        </w:rPr>
        <w:t>1</w:t>
      </w:r>
      <w:r w:rsidR="00E9729D">
        <w:rPr>
          <w:rFonts w:ascii="Verdana" w:hAnsi="Verdana"/>
          <w:sz w:val="20"/>
          <w:szCs w:val="20"/>
        </w:rPr>
        <w:t>.1.2.121.</w:t>
      </w:r>
    </w:p>
    <w:p w14:paraId="796F44BD" w14:textId="77777777" w:rsidR="00B80FAE" w:rsidRDefault="00357D85" w:rsidP="00766CA6">
      <w:pPr>
        <w:jc w:val="both"/>
        <w:rPr>
          <w:rFonts w:ascii="Verdana" w:hAnsi="Verdana"/>
          <w:sz w:val="20"/>
          <w:szCs w:val="20"/>
        </w:rPr>
      </w:pPr>
      <w:r w:rsidRPr="00357D85">
        <w:rPr>
          <w:rFonts w:ascii="Verdana" w:hAnsi="Verdana"/>
          <w:sz w:val="20"/>
          <w:szCs w:val="20"/>
        </w:rPr>
        <w:t>Para identificar el riesgo la entidad debe como mínimo</w:t>
      </w:r>
      <w:r>
        <w:rPr>
          <w:rFonts w:ascii="Verdana" w:hAnsi="Verdana"/>
          <w:sz w:val="20"/>
          <w:szCs w:val="20"/>
        </w:rPr>
        <w:t>:</w:t>
      </w:r>
      <w:r w:rsidR="00E9729D" w:rsidRPr="00A30F7E">
        <w:rPr>
          <w:rFonts w:ascii="Verdana" w:hAnsi="Verdana"/>
          <w:sz w:val="20"/>
          <w:szCs w:val="20"/>
        </w:rPr>
        <w:t xml:space="preserve"> </w:t>
      </w:r>
    </w:p>
    <w:p w14:paraId="401460BA" w14:textId="77777777" w:rsidR="00183BE2" w:rsidRDefault="00183BE2" w:rsidP="00766CA6">
      <w:pPr>
        <w:pStyle w:val="Prrafodelista"/>
        <w:numPr>
          <w:ilvl w:val="0"/>
          <w:numId w:val="49"/>
        </w:numPr>
        <w:ind w:left="567" w:hanging="567"/>
        <w:jc w:val="both"/>
        <w:rPr>
          <w:rFonts w:ascii="Verdana" w:hAnsi="Verdana"/>
          <w:sz w:val="20"/>
          <w:szCs w:val="20"/>
        </w:rPr>
      </w:pPr>
      <w:r w:rsidRPr="00183BE2">
        <w:rPr>
          <w:rFonts w:ascii="Verdana" w:hAnsi="Verdana"/>
          <w:sz w:val="20"/>
          <w:szCs w:val="20"/>
        </w:rPr>
        <w:lastRenderedPageBreak/>
        <w:t>Identificar y documentar la totalidad de los procesos.</w:t>
      </w:r>
    </w:p>
    <w:p w14:paraId="016AC9BB" w14:textId="77777777" w:rsidR="00183BE2" w:rsidRDefault="00183BE2" w:rsidP="00766CA6">
      <w:pPr>
        <w:pStyle w:val="Prrafodelista"/>
        <w:ind w:left="567"/>
        <w:jc w:val="both"/>
        <w:rPr>
          <w:rFonts w:ascii="Verdana" w:hAnsi="Verdana"/>
          <w:sz w:val="20"/>
          <w:szCs w:val="20"/>
        </w:rPr>
      </w:pPr>
    </w:p>
    <w:p w14:paraId="2888EC1D" w14:textId="77777777" w:rsidR="00183BE2" w:rsidRDefault="00183BE2" w:rsidP="00766CA6">
      <w:pPr>
        <w:pStyle w:val="Prrafodelista"/>
        <w:numPr>
          <w:ilvl w:val="0"/>
          <w:numId w:val="49"/>
        </w:numPr>
        <w:ind w:left="567" w:hanging="567"/>
        <w:jc w:val="both"/>
        <w:rPr>
          <w:rFonts w:ascii="Verdana" w:hAnsi="Verdana"/>
          <w:sz w:val="20"/>
          <w:szCs w:val="20"/>
        </w:rPr>
      </w:pPr>
      <w:r w:rsidRPr="00183BE2">
        <w:rPr>
          <w:rFonts w:ascii="Verdana" w:hAnsi="Verdana"/>
          <w:sz w:val="20"/>
          <w:szCs w:val="20"/>
        </w:rPr>
        <w:t>Establecer metodologías de identificación, con el fin de determinar los riesgos operacionales de cada uno de los procesos.</w:t>
      </w:r>
    </w:p>
    <w:p w14:paraId="27D6CC0F" w14:textId="77777777" w:rsidR="00183BE2" w:rsidRPr="00183BE2" w:rsidRDefault="00183BE2" w:rsidP="00766CA6">
      <w:pPr>
        <w:pStyle w:val="Prrafodelista"/>
        <w:jc w:val="both"/>
        <w:rPr>
          <w:rFonts w:ascii="Verdana" w:hAnsi="Verdana"/>
          <w:sz w:val="20"/>
          <w:szCs w:val="20"/>
        </w:rPr>
      </w:pPr>
    </w:p>
    <w:p w14:paraId="5673D3FF" w14:textId="451C7583" w:rsidR="00183BE2" w:rsidRPr="00183BE2" w:rsidRDefault="00183BE2" w:rsidP="00766CA6">
      <w:pPr>
        <w:pStyle w:val="Prrafodelista"/>
        <w:numPr>
          <w:ilvl w:val="0"/>
          <w:numId w:val="49"/>
        </w:numPr>
        <w:ind w:left="567" w:hanging="567"/>
        <w:jc w:val="both"/>
        <w:rPr>
          <w:rFonts w:ascii="Verdana" w:hAnsi="Verdana"/>
          <w:sz w:val="20"/>
          <w:szCs w:val="20"/>
        </w:rPr>
      </w:pPr>
      <w:r w:rsidRPr="00183BE2">
        <w:rPr>
          <w:rFonts w:ascii="Verdana" w:hAnsi="Verdana"/>
          <w:sz w:val="20"/>
          <w:szCs w:val="20"/>
        </w:rPr>
        <w:t>Con base en las metodologías establecidas en desarrollo del literal anterior, identificar los riesgos operacionales, potenciales y ocurridos, en cada uno de los procesos.</w:t>
      </w:r>
    </w:p>
    <w:p w14:paraId="3CACFD59" w14:textId="5ED6B54D" w:rsidR="00B80FAE" w:rsidRPr="0086035E" w:rsidRDefault="00B80FAE"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12</w:t>
      </w:r>
      <w:r w:rsidR="00834D85">
        <w:rPr>
          <w:rFonts w:ascii="Verdana" w:hAnsi="Verdana"/>
          <w:sz w:val="20"/>
          <w:szCs w:val="20"/>
        </w:rPr>
        <w:t>2</w:t>
      </w:r>
      <w:r w:rsidRPr="0086035E">
        <w:rPr>
          <w:rFonts w:ascii="Verdana" w:hAnsi="Verdana"/>
          <w:sz w:val="20"/>
          <w:szCs w:val="20"/>
        </w:rPr>
        <w:t>.</w:t>
      </w:r>
    </w:p>
    <w:p w14:paraId="717E3ABE" w14:textId="3BCCB7D1" w:rsidR="006F4907" w:rsidRPr="009852C8" w:rsidRDefault="00284C9C" w:rsidP="00766CA6">
      <w:pPr>
        <w:jc w:val="both"/>
        <w:rPr>
          <w:rFonts w:ascii="Verdana" w:hAnsi="Verdana"/>
          <w:sz w:val="20"/>
          <w:szCs w:val="20"/>
        </w:rPr>
      </w:pPr>
      <w:r w:rsidRPr="00284C9C">
        <w:rPr>
          <w:rFonts w:ascii="Verdana" w:hAnsi="Verdana"/>
          <w:sz w:val="20"/>
          <w:szCs w:val="20"/>
        </w:rPr>
        <w:t xml:space="preserve">La etapa de identificación debe realizarse previamente a la implementación o modificación de cualquier proceso, producto, servicio o canal, así como en los casos de fusión, adquisición, cesión de activos, pasivos y contratos, entre </w:t>
      </w:r>
      <w:r w:rsidR="006F4907">
        <w:rPr>
          <w:rFonts w:ascii="Verdana" w:hAnsi="Verdana"/>
          <w:sz w:val="20"/>
          <w:szCs w:val="20"/>
        </w:rPr>
        <w:t>otros.</w:t>
      </w:r>
    </w:p>
    <w:p w14:paraId="12A08828" w14:textId="37B4984E" w:rsidR="006F4907" w:rsidRPr="009852C8" w:rsidRDefault="006F4907" w:rsidP="00766CA6">
      <w:pPr>
        <w:pStyle w:val="Prrafodelista"/>
        <w:numPr>
          <w:ilvl w:val="0"/>
          <w:numId w:val="6"/>
        </w:numPr>
        <w:ind w:left="567" w:hanging="283"/>
        <w:jc w:val="both"/>
        <w:rPr>
          <w:rFonts w:ascii="Verdana" w:hAnsi="Verdana"/>
          <w:b/>
          <w:bCs/>
          <w:sz w:val="20"/>
          <w:szCs w:val="20"/>
        </w:rPr>
      </w:pPr>
      <w:r>
        <w:rPr>
          <w:rFonts w:ascii="Verdana" w:hAnsi="Verdana"/>
          <w:b/>
          <w:bCs/>
          <w:sz w:val="20"/>
          <w:szCs w:val="20"/>
        </w:rPr>
        <w:t>Factores internos</w:t>
      </w:r>
    </w:p>
    <w:p w14:paraId="33942732" w14:textId="77777777" w:rsidR="006F4907" w:rsidRPr="0086035E" w:rsidRDefault="006F4907"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123</w:t>
      </w:r>
      <w:r w:rsidRPr="0086035E">
        <w:rPr>
          <w:rFonts w:ascii="Verdana" w:hAnsi="Verdana"/>
          <w:sz w:val="20"/>
          <w:szCs w:val="20"/>
        </w:rPr>
        <w:t>.</w:t>
      </w:r>
    </w:p>
    <w:p w14:paraId="36525705" w14:textId="77777777" w:rsidR="00245A66" w:rsidRPr="006A5697" w:rsidRDefault="006A5697" w:rsidP="00766CA6">
      <w:pPr>
        <w:jc w:val="both"/>
        <w:rPr>
          <w:rFonts w:ascii="Verdana" w:hAnsi="Verdana"/>
          <w:sz w:val="20"/>
          <w:szCs w:val="20"/>
        </w:rPr>
      </w:pPr>
      <w:r w:rsidRPr="006A5697">
        <w:rPr>
          <w:rFonts w:ascii="Verdana" w:hAnsi="Verdana"/>
          <w:sz w:val="20"/>
          <w:szCs w:val="20"/>
        </w:rPr>
        <w:t xml:space="preserve">Procesos: </w:t>
      </w:r>
      <w:r>
        <w:rPr>
          <w:rFonts w:ascii="Verdana" w:hAnsi="Verdana"/>
          <w:sz w:val="20"/>
          <w:szCs w:val="20"/>
        </w:rPr>
        <w:t>e</w:t>
      </w:r>
      <w:r w:rsidRPr="006A5697">
        <w:rPr>
          <w:rFonts w:ascii="Verdana" w:hAnsi="Verdana"/>
          <w:sz w:val="20"/>
          <w:szCs w:val="20"/>
        </w:rPr>
        <w:t>s el conjunto de actividades que se interrelacionan entre sí para la transformación de elementos de entrada en productos o servicios y que buscan satisfacer una necesidad</w:t>
      </w:r>
      <w:r w:rsidR="00245A66" w:rsidRPr="006A5697">
        <w:rPr>
          <w:rFonts w:ascii="Verdana" w:hAnsi="Verdana"/>
          <w:sz w:val="20"/>
          <w:szCs w:val="20"/>
        </w:rPr>
        <w:t>.</w:t>
      </w:r>
    </w:p>
    <w:p w14:paraId="4D349A20" w14:textId="0FE126F2" w:rsidR="006A5697" w:rsidRPr="0086035E" w:rsidRDefault="00245A66" w:rsidP="00766CA6">
      <w:pPr>
        <w:spacing w:after="0"/>
        <w:jc w:val="both"/>
        <w:rPr>
          <w:rFonts w:ascii="Verdana" w:hAnsi="Verdana"/>
          <w:sz w:val="20"/>
          <w:szCs w:val="20"/>
        </w:rPr>
      </w:pPr>
      <w:r w:rsidRPr="0086035E">
        <w:rPr>
          <w:rFonts w:ascii="Verdana" w:hAnsi="Verdana"/>
          <w:sz w:val="20"/>
          <w:szCs w:val="20"/>
        </w:rPr>
        <w:t>1</w:t>
      </w:r>
      <w:r w:rsidR="006A5697" w:rsidRPr="0086035E">
        <w:rPr>
          <w:rFonts w:ascii="Verdana" w:hAnsi="Verdana"/>
          <w:sz w:val="20"/>
          <w:szCs w:val="20"/>
        </w:rPr>
        <w:t>.1.</w:t>
      </w:r>
      <w:r w:rsidR="006A5697">
        <w:rPr>
          <w:rFonts w:ascii="Verdana" w:hAnsi="Verdana"/>
          <w:sz w:val="20"/>
          <w:szCs w:val="20"/>
        </w:rPr>
        <w:t>2</w:t>
      </w:r>
      <w:r w:rsidR="006A5697" w:rsidRPr="0086035E">
        <w:rPr>
          <w:rFonts w:ascii="Verdana" w:hAnsi="Verdana"/>
          <w:sz w:val="20"/>
          <w:szCs w:val="20"/>
        </w:rPr>
        <w:t>.</w:t>
      </w:r>
      <w:r w:rsidR="006A5697">
        <w:rPr>
          <w:rFonts w:ascii="Verdana" w:hAnsi="Verdana"/>
          <w:sz w:val="20"/>
          <w:szCs w:val="20"/>
        </w:rPr>
        <w:t>124</w:t>
      </w:r>
      <w:r w:rsidR="006A5697" w:rsidRPr="0086035E">
        <w:rPr>
          <w:rFonts w:ascii="Verdana" w:hAnsi="Verdana"/>
          <w:sz w:val="20"/>
          <w:szCs w:val="20"/>
        </w:rPr>
        <w:t>.</w:t>
      </w:r>
    </w:p>
    <w:p w14:paraId="7DCE12A8" w14:textId="739CB935" w:rsidR="006A5697" w:rsidRPr="006A5697" w:rsidRDefault="006A5697" w:rsidP="00766CA6">
      <w:pPr>
        <w:jc w:val="both"/>
        <w:rPr>
          <w:rFonts w:ascii="Verdana" w:hAnsi="Verdana"/>
          <w:sz w:val="20"/>
          <w:szCs w:val="20"/>
        </w:rPr>
      </w:pPr>
      <w:r w:rsidRPr="006A5697">
        <w:rPr>
          <w:rFonts w:ascii="Verdana" w:hAnsi="Verdana"/>
          <w:sz w:val="20"/>
          <w:szCs w:val="20"/>
        </w:rPr>
        <w:t>Tecnología: Es el conjunto de herramientas empleadas para soportar los procesos de la entidad. Esto incluye elementos de hardware, software y telecomunicaciones.</w:t>
      </w:r>
    </w:p>
    <w:p w14:paraId="5E7A191E" w14:textId="10BEAD4B" w:rsidR="006A5697" w:rsidRPr="0086035E" w:rsidRDefault="006A5697"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125</w:t>
      </w:r>
      <w:r w:rsidRPr="0086035E">
        <w:rPr>
          <w:rFonts w:ascii="Verdana" w:hAnsi="Verdana"/>
          <w:sz w:val="20"/>
          <w:szCs w:val="20"/>
        </w:rPr>
        <w:t>.</w:t>
      </w:r>
    </w:p>
    <w:p w14:paraId="7C255A31" w14:textId="77777777" w:rsidR="006A5697" w:rsidRPr="006A5697" w:rsidRDefault="006A5697" w:rsidP="00766CA6">
      <w:pPr>
        <w:jc w:val="both"/>
        <w:rPr>
          <w:rFonts w:ascii="Verdana" w:hAnsi="Verdana"/>
          <w:sz w:val="20"/>
          <w:szCs w:val="20"/>
        </w:rPr>
      </w:pPr>
      <w:r w:rsidRPr="006A5697">
        <w:rPr>
          <w:rFonts w:ascii="Verdana" w:hAnsi="Verdana"/>
          <w:sz w:val="20"/>
          <w:szCs w:val="20"/>
        </w:rPr>
        <w:t>Infraestructura: Es el conjunto de elementos de apoyo para el funcionamiento de una organización. Entre otros se incluyen edificios, espacios de trabajo, almacenamiento y transporte.</w:t>
      </w:r>
    </w:p>
    <w:p w14:paraId="53549D19" w14:textId="3C3AA7F7" w:rsidR="006F4907" w:rsidRPr="0086035E" w:rsidRDefault="006F4907"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126</w:t>
      </w:r>
      <w:r w:rsidRPr="0086035E">
        <w:rPr>
          <w:rFonts w:ascii="Verdana" w:hAnsi="Verdana"/>
          <w:sz w:val="20"/>
          <w:szCs w:val="20"/>
        </w:rPr>
        <w:t>.</w:t>
      </w:r>
    </w:p>
    <w:p w14:paraId="04AE39C2" w14:textId="4BFBF32E" w:rsidR="00AE5574" w:rsidRPr="009852C8" w:rsidRDefault="006A5697" w:rsidP="00766CA6">
      <w:pPr>
        <w:jc w:val="both"/>
        <w:rPr>
          <w:rFonts w:ascii="Verdana" w:hAnsi="Verdana"/>
          <w:sz w:val="20"/>
          <w:szCs w:val="20"/>
        </w:rPr>
      </w:pPr>
      <w:r w:rsidRPr="006A5697">
        <w:rPr>
          <w:rFonts w:ascii="Verdana" w:hAnsi="Verdana"/>
          <w:sz w:val="20"/>
          <w:szCs w:val="20"/>
        </w:rPr>
        <w:t xml:space="preserve">Recurso Humano: Es el conjunto de personas vinculadas directa o indirectamente con la ejecución de los procesos de la entidad. Para los efectos del presente </w:t>
      </w:r>
      <w:r w:rsidR="00E22BF1">
        <w:rPr>
          <w:rFonts w:ascii="Verdana" w:hAnsi="Verdana"/>
          <w:sz w:val="20"/>
          <w:szCs w:val="20"/>
        </w:rPr>
        <w:t>c</w:t>
      </w:r>
      <w:r w:rsidRPr="006A5697">
        <w:rPr>
          <w:rFonts w:ascii="Verdana" w:hAnsi="Verdana"/>
          <w:sz w:val="20"/>
          <w:szCs w:val="20"/>
        </w:rPr>
        <w:t>apítulo, se entiende que existe vinculación directa en aquellos eventos en que la relación se encuentra soportada en un contrato de trabajo en los términos de la legislación vigente y la vinculación indirecta corresponde a toda relación jurídica de prestación de servicios diferente a aquella que se origina en un contrato de trabajo</w:t>
      </w:r>
      <w:r w:rsidR="006F4907">
        <w:rPr>
          <w:rFonts w:ascii="Verdana" w:hAnsi="Verdana"/>
          <w:sz w:val="20"/>
          <w:szCs w:val="20"/>
        </w:rPr>
        <w:t>.</w:t>
      </w:r>
    </w:p>
    <w:p w14:paraId="43A14E85" w14:textId="7B3C475D" w:rsidR="00D65CB5" w:rsidRPr="00D65CB5" w:rsidRDefault="00AE5574" w:rsidP="00766CA6">
      <w:pPr>
        <w:pStyle w:val="Prrafodelista"/>
        <w:numPr>
          <w:ilvl w:val="0"/>
          <w:numId w:val="6"/>
        </w:numPr>
        <w:ind w:left="567" w:hanging="283"/>
        <w:jc w:val="both"/>
        <w:rPr>
          <w:rFonts w:ascii="Verdana" w:hAnsi="Verdana"/>
          <w:b/>
          <w:bCs/>
          <w:sz w:val="20"/>
          <w:szCs w:val="20"/>
        </w:rPr>
      </w:pPr>
      <w:r>
        <w:rPr>
          <w:rFonts w:ascii="Verdana" w:hAnsi="Verdana"/>
          <w:b/>
          <w:bCs/>
          <w:sz w:val="20"/>
          <w:szCs w:val="20"/>
        </w:rPr>
        <w:t xml:space="preserve">Factores </w:t>
      </w:r>
      <w:r w:rsidR="006F4907">
        <w:rPr>
          <w:rFonts w:ascii="Verdana" w:hAnsi="Verdana"/>
          <w:b/>
          <w:bCs/>
          <w:sz w:val="20"/>
          <w:szCs w:val="20"/>
        </w:rPr>
        <w:t>e</w:t>
      </w:r>
      <w:r>
        <w:rPr>
          <w:rFonts w:ascii="Verdana" w:hAnsi="Verdana"/>
          <w:b/>
          <w:bCs/>
          <w:sz w:val="20"/>
          <w:szCs w:val="20"/>
        </w:rPr>
        <w:t>xternos</w:t>
      </w:r>
    </w:p>
    <w:p w14:paraId="00D1F070" w14:textId="4771F878" w:rsidR="00AE5574" w:rsidRPr="0086035E" w:rsidRDefault="00AE5574"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12</w:t>
      </w:r>
      <w:r w:rsidR="00245A66">
        <w:rPr>
          <w:rFonts w:ascii="Verdana" w:hAnsi="Verdana"/>
          <w:sz w:val="20"/>
          <w:szCs w:val="20"/>
        </w:rPr>
        <w:t>7</w:t>
      </w:r>
      <w:r w:rsidRPr="0086035E">
        <w:rPr>
          <w:rFonts w:ascii="Verdana" w:hAnsi="Verdana"/>
          <w:sz w:val="20"/>
          <w:szCs w:val="20"/>
        </w:rPr>
        <w:t>.</w:t>
      </w:r>
    </w:p>
    <w:p w14:paraId="1101A32D" w14:textId="7B48F46F" w:rsidR="00AE5574" w:rsidRDefault="00B719E3" w:rsidP="00766CA6">
      <w:pPr>
        <w:jc w:val="both"/>
        <w:rPr>
          <w:rFonts w:ascii="Verdana" w:hAnsi="Verdana"/>
          <w:sz w:val="20"/>
          <w:szCs w:val="20"/>
        </w:rPr>
      </w:pPr>
      <w:r w:rsidRPr="00B719E3">
        <w:rPr>
          <w:rFonts w:ascii="Verdana" w:hAnsi="Verdana"/>
          <w:sz w:val="20"/>
          <w:szCs w:val="20"/>
        </w:rPr>
        <w:t>Son situaciones asociadas a la fuerza de la naturaleza u ocasionadas por terceros, que escapan en cuanto a su causa y origen al control de la entidad.</w:t>
      </w:r>
      <w:r w:rsidR="00AE5574" w:rsidRPr="009852C8">
        <w:rPr>
          <w:rFonts w:ascii="Verdana" w:hAnsi="Verdana"/>
          <w:sz w:val="20"/>
          <w:szCs w:val="20"/>
        </w:rPr>
        <w:t xml:space="preserve"> </w:t>
      </w:r>
    </w:p>
    <w:p w14:paraId="2EE5B24B" w14:textId="77777777" w:rsidR="00F7424D" w:rsidRPr="00732E97" w:rsidRDefault="00F7424D"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Medición</w:t>
      </w:r>
    </w:p>
    <w:p w14:paraId="3CF5BBB1" w14:textId="6684C5AA" w:rsidR="00F7424D" w:rsidRPr="0086035E" w:rsidRDefault="00F7424D"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A12DC0">
        <w:rPr>
          <w:rFonts w:ascii="Verdana" w:hAnsi="Verdana"/>
          <w:sz w:val="20"/>
          <w:szCs w:val="20"/>
        </w:rPr>
        <w:t>28</w:t>
      </w:r>
      <w:r w:rsidRPr="0086035E">
        <w:rPr>
          <w:rFonts w:ascii="Verdana" w:hAnsi="Verdana"/>
          <w:sz w:val="20"/>
          <w:szCs w:val="20"/>
        </w:rPr>
        <w:t>.</w:t>
      </w:r>
    </w:p>
    <w:p w14:paraId="3A2E43FA" w14:textId="2EB2EB01" w:rsidR="00F7424D" w:rsidRDefault="00F7424D" w:rsidP="00766CA6">
      <w:pPr>
        <w:jc w:val="both"/>
        <w:rPr>
          <w:rFonts w:ascii="Verdana" w:hAnsi="Verdana"/>
          <w:sz w:val="20"/>
          <w:szCs w:val="20"/>
        </w:rPr>
      </w:pPr>
      <w:r w:rsidRPr="00D01D7F">
        <w:rPr>
          <w:rFonts w:ascii="Verdana" w:hAnsi="Verdana"/>
          <w:sz w:val="20"/>
          <w:szCs w:val="20"/>
        </w:rPr>
        <w:t xml:space="preserve">La </w:t>
      </w:r>
      <w:r w:rsidR="00A12DC0" w:rsidRPr="00A12DC0">
        <w:rPr>
          <w:rFonts w:ascii="Verdana" w:hAnsi="Verdana"/>
          <w:sz w:val="20"/>
          <w:szCs w:val="20"/>
        </w:rPr>
        <w:t>entidad debe medir la probabilidad de ocurrencia de los riesgos operacionales identificados y su impacto en caso de materializarse. Esta medición debe ser cualitativa y, cuando se cuente con datos históricos, cuantitativa. Para la determinación de la probabilidad de ocurrencia se debe considerar un horizonte de tiempo mínimo de un año.</w:t>
      </w:r>
    </w:p>
    <w:p w14:paraId="1BF29D06" w14:textId="595776FC" w:rsidR="00F7424D" w:rsidRPr="0086035E" w:rsidRDefault="00F7424D"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A12DC0">
        <w:rPr>
          <w:rFonts w:ascii="Verdana" w:hAnsi="Verdana"/>
          <w:sz w:val="20"/>
          <w:szCs w:val="20"/>
        </w:rPr>
        <w:t>29</w:t>
      </w:r>
      <w:r w:rsidRPr="0086035E">
        <w:rPr>
          <w:rFonts w:ascii="Verdana" w:hAnsi="Verdana"/>
          <w:sz w:val="20"/>
          <w:szCs w:val="20"/>
        </w:rPr>
        <w:t>.</w:t>
      </w:r>
    </w:p>
    <w:p w14:paraId="457EA26E" w14:textId="163998C3" w:rsidR="00F7424D" w:rsidRDefault="00A12DC0" w:rsidP="00766CA6">
      <w:pPr>
        <w:jc w:val="both"/>
        <w:rPr>
          <w:rFonts w:ascii="Verdana" w:hAnsi="Verdana"/>
          <w:sz w:val="20"/>
          <w:szCs w:val="20"/>
        </w:rPr>
      </w:pPr>
      <w:r w:rsidRPr="00A12DC0">
        <w:rPr>
          <w:rFonts w:ascii="Verdana" w:hAnsi="Verdana"/>
          <w:sz w:val="20"/>
          <w:szCs w:val="20"/>
        </w:rPr>
        <w:t>En el proceso de medición de los riesgos operacionales la entidad debe desarrollar, como mínimo, los siguientes pasos:</w:t>
      </w:r>
      <w:r w:rsidR="00F7424D" w:rsidRPr="008D1A73">
        <w:rPr>
          <w:rFonts w:ascii="Verdana" w:hAnsi="Verdana"/>
          <w:sz w:val="20"/>
          <w:szCs w:val="20"/>
        </w:rPr>
        <w:t xml:space="preserve"> </w:t>
      </w:r>
    </w:p>
    <w:p w14:paraId="6DFD52BB" w14:textId="77777777" w:rsidR="00A12DC0" w:rsidRDefault="00A12DC0" w:rsidP="00766CA6">
      <w:pPr>
        <w:pStyle w:val="Prrafodelista"/>
        <w:numPr>
          <w:ilvl w:val="0"/>
          <w:numId w:val="50"/>
        </w:numPr>
        <w:ind w:left="567" w:hanging="567"/>
        <w:jc w:val="both"/>
        <w:rPr>
          <w:rFonts w:ascii="Verdana" w:hAnsi="Verdana"/>
          <w:sz w:val="20"/>
          <w:szCs w:val="20"/>
        </w:rPr>
      </w:pPr>
      <w:r w:rsidRPr="00A12DC0">
        <w:rPr>
          <w:rFonts w:ascii="Verdana" w:hAnsi="Verdana"/>
          <w:sz w:val="20"/>
          <w:szCs w:val="20"/>
        </w:rPr>
        <w:t>Establecer la metodología de medición individual y consolidada susceptible de aplicarse a los riesgos operacionales identificados. La metodología debe ser aplicable tanto a la probabilidad de ocurrencia como al impacto.</w:t>
      </w:r>
    </w:p>
    <w:p w14:paraId="1E60EB12" w14:textId="77777777" w:rsidR="00A12DC0" w:rsidRDefault="00A12DC0" w:rsidP="00766CA6">
      <w:pPr>
        <w:pStyle w:val="Prrafodelista"/>
        <w:ind w:left="567"/>
        <w:jc w:val="both"/>
        <w:rPr>
          <w:rFonts w:ascii="Verdana" w:hAnsi="Verdana"/>
          <w:sz w:val="20"/>
          <w:szCs w:val="20"/>
        </w:rPr>
      </w:pPr>
    </w:p>
    <w:p w14:paraId="5CC53FE9" w14:textId="77777777" w:rsidR="00A12DC0" w:rsidRDefault="00A12DC0" w:rsidP="00766CA6">
      <w:pPr>
        <w:pStyle w:val="Prrafodelista"/>
        <w:numPr>
          <w:ilvl w:val="0"/>
          <w:numId w:val="50"/>
        </w:numPr>
        <w:ind w:left="567" w:hanging="567"/>
        <w:jc w:val="both"/>
        <w:rPr>
          <w:rFonts w:ascii="Verdana" w:hAnsi="Verdana"/>
          <w:sz w:val="20"/>
          <w:szCs w:val="20"/>
        </w:rPr>
      </w:pPr>
      <w:r w:rsidRPr="00A12DC0">
        <w:rPr>
          <w:rFonts w:ascii="Verdana" w:hAnsi="Verdana"/>
          <w:sz w:val="20"/>
          <w:szCs w:val="20"/>
        </w:rPr>
        <w:t>Aplicar la metodología establecida en desarrollo del literal anterior para lograr una medición de la probabilidad de ocurrencia y del impacto de los riesgos operacionales identificados en la totalidad de los procesos de la entidad.</w:t>
      </w:r>
    </w:p>
    <w:p w14:paraId="1631B832" w14:textId="77777777" w:rsidR="00A12DC0" w:rsidRPr="00A12DC0" w:rsidRDefault="00A12DC0" w:rsidP="00766CA6">
      <w:pPr>
        <w:pStyle w:val="Prrafodelista"/>
        <w:jc w:val="both"/>
        <w:rPr>
          <w:rFonts w:ascii="Verdana" w:hAnsi="Verdana"/>
          <w:sz w:val="20"/>
          <w:szCs w:val="20"/>
        </w:rPr>
      </w:pPr>
    </w:p>
    <w:p w14:paraId="05754A3E" w14:textId="45D79AF5" w:rsidR="00113BA9" w:rsidRPr="00113BA9" w:rsidRDefault="00A12DC0" w:rsidP="00766CA6">
      <w:pPr>
        <w:pStyle w:val="Prrafodelista"/>
        <w:numPr>
          <w:ilvl w:val="0"/>
          <w:numId w:val="50"/>
        </w:numPr>
        <w:ind w:left="567" w:hanging="567"/>
        <w:jc w:val="both"/>
        <w:rPr>
          <w:rFonts w:ascii="Verdana" w:hAnsi="Verdana"/>
          <w:sz w:val="20"/>
          <w:szCs w:val="20"/>
        </w:rPr>
      </w:pPr>
      <w:r w:rsidRPr="00A12DC0">
        <w:rPr>
          <w:rFonts w:ascii="Verdana" w:hAnsi="Verdana"/>
          <w:sz w:val="20"/>
          <w:szCs w:val="20"/>
        </w:rPr>
        <w:t>Determinar el perfil de riesgo inherente de la entidad.</w:t>
      </w:r>
    </w:p>
    <w:p w14:paraId="262A3918" w14:textId="4C79A9A9" w:rsidR="00F7424D" w:rsidRPr="0086035E" w:rsidRDefault="00F7424D"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113BA9">
        <w:rPr>
          <w:rFonts w:ascii="Verdana" w:hAnsi="Verdana"/>
          <w:sz w:val="20"/>
          <w:szCs w:val="20"/>
        </w:rPr>
        <w:t>30</w:t>
      </w:r>
      <w:r w:rsidRPr="0086035E">
        <w:rPr>
          <w:rFonts w:ascii="Verdana" w:hAnsi="Verdana"/>
          <w:sz w:val="20"/>
          <w:szCs w:val="20"/>
        </w:rPr>
        <w:t>.</w:t>
      </w:r>
    </w:p>
    <w:p w14:paraId="3CDD0D1C" w14:textId="382265CF" w:rsidR="00F7424D" w:rsidRDefault="00113BA9" w:rsidP="00766CA6">
      <w:pPr>
        <w:jc w:val="both"/>
        <w:rPr>
          <w:rFonts w:ascii="Verdana" w:hAnsi="Verdana"/>
          <w:sz w:val="20"/>
          <w:szCs w:val="20"/>
        </w:rPr>
      </w:pPr>
      <w:r w:rsidRPr="00113BA9">
        <w:rPr>
          <w:rFonts w:ascii="Verdana" w:hAnsi="Verdana"/>
          <w:sz w:val="20"/>
          <w:szCs w:val="20"/>
        </w:rPr>
        <w:t>En el caso de los EC, los organismos cooperativos de grado superior de carácter financiero, el Banco de Comercio Exterior de Colombia S.A. (</w:t>
      </w:r>
      <w:proofErr w:type="spellStart"/>
      <w:r w:rsidRPr="00113BA9">
        <w:rPr>
          <w:rFonts w:ascii="Verdana" w:hAnsi="Verdana"/>
          <w:sz w:val="20"/>
          <w:szCs w:val="20"/>
        </w:rPr>
        <w:t>Bancoldex</w:t>
      </w:r>
      <w:proofErr w:type="spellEnd"/>
      <w:r w:rsidRPr="00113BA9">
        <w:rPr>
          <w:rFonts w:ascii="Verdana" w:hAnsi="Verdana"/>
          <w:sz w:val="20"/>
          <w:szCs w:val="20"/>
        </w:rPr>
        <w:t xml:space="preserve">), la Caja Promotora de Vivienda Militar y de Policía, la Financiera de Desarrollo Nacional S.A. </w:t>
      </w:r>
      <w:r w:rsidRPr="00113BA9">
        <w:rPr>
          <w:rFonts w:ascii="Verdana" w:hAnsi="Verdana"/>
          <w:sz w:val="20"/>
          <w:szCs w:val="20"/>
        </w:rPr>
        <w:lastRenderedPageBreak/>
        <w:t>(FDN), la Financiera de Desarrollo Territorial (Findeter), el Fondo Nacional del Ahorro (FNA) y el Fondo para el Financiamiento del Sector Agropecuario (Finagro), la medición de la probabilidad de ocurrencia de los riesgos operacionales y su impacto en caso de materializarse, debe realizarse de forma cuantitativa utilizando los registros de eventos para estimar la probabilidad de ocurrencia de los riegos operacionales cuando:</w:t>
      </w:r>
      <w:r w:rsidR="00F7424D" w:rsidRPr="008D1A73">
        <w:rPr>
          <w:rFonts w:ascii="Verdana" w:hAnsi="Verdana"/>
          <w:sz w:val="20"/>
          <w:szCs w:val="20"/>
        </w:rPr>
        <w:t xml:space="preserve"> </w:t>
      </w:r>
    </w:p>
    <w:p w14:paraId="1D91734B" w14:textId="6B586651" w:rsidR="00C4409B" w:rsidRDefault="00113BA9" w:rsidP="00766CA6">
      <w:pPr>
        <w:pStyle w:val="Prrafodelista"/>
        <w:numPr>
          <w:ilvl w:val="0"/>
          <w:numId w:val="51"/>
        </w:numPr>
        <w:ind w:left="567" w:hanging="567"/>
        <w:jc w:val="both"/>
        <w:rPr>
          <w:rFonts w:ascii="Verdana" w:hAnsi="Verdana"/>
          <w:sz w:val="20"/>
          <w:szCs w:val="20"/>
        </w:rPr>
      </w:pPr>
      <w:r w:rsidRPr="00113BA9">
        <w:rPr>
          <w:rFonts w:ascii="Verdana" w:hAnsi="Verdana"/>
          <w:sz w:val="20"/>
          <w:szCs w:val="20"/>
        </w:rPr>
        <w:t>Se cuente con datos históricos conforme a lo establecido en</w:t>
      </w:r>
      <w:r w:rsidR="006D60D9">
        <w:rPr>
          <w:rFonts w:ascii="Verdana" w:hAnsi="Verdana"/>
          <w:sz w:val="20"/>
          <w:szCs w:val="20"/>
        </w:rPr>
        <w:t xml:space="preserve">tre los párrafos 1.1.3.135. y 1.1.3.147. de la </w:t>
      </w:r>
      <w:r w:rsidR="00F5486D">
        <w:rPr>
          <w:rFonts w:ascii="Verdana" w:hAnsi="Verdana"/>
          <w:sz w:val="20"/>
          <w:szCs w:val="20"/>
        </w:rPr>
        <w:t>CBF</w:t>
      </w:r>
      <w:r w:rsidR="006D60D9">
        <w:rPr>
          <w:rFonts w:ascii="Verdana" w:hAnsi="Verdana"/>
          <w:sz w:val="20"/>
          <w:szCs w:val="20"/>
        </w:rPr>
        <w:t xml:space="preserve"> en relación con el r</w:t>
      </w:r>
      <w:r w:rsidRPr="00113BA9">
        <w:rPr>
          <w:rFonts w:ascii="Verdana" w:hAnsi="Verdana"/>
          <w:sz w:val="20"/>
          <w:szCs w:val="20"/>
        </w:rPr>
        <w:t>egistro de eventos de riesgo operacional de alta calidad”.</w:t>
      </w:r>
    </w:p>
    <w:p w14:paraId="6B82ED1A" w14:textId="77777777" w:rsidR="00C4409B" w:rsidRDefault="00C4409B" w:rsidP="00766CA6">
      <w:pPr>
        <w:pStyle w:val="Prrafodelista"/>
        <w:ind w:left="567"/>
        <w:jc w:val="both"/>
        <w:rPr>
          <w:rFonts w:ascii="Verdana" w:hAnsi="Verdana"/>
          <w:sz w:val="20"/>
          <w:szCs w:val="20"/>
        </w:rPr>
      </w:pPr>
    </w:p>
    <w:p w14:paraId="1B35450B" w14:textId="5403A119" w:rsidR="00113BA9" w:rsidRDefault="00113BA9" w:rsidP="00766CA6">
      <w:pPr>
        <w:pStyle w:val="Prrafodelista"/>
        <w:numPr>
          <w:ilvl w:val="0"/>
          <w:numId w:val="51"/>
        </w:numPr>
        <w:ind w:left="567" w:hanging="567"/>
        <w:jc w:val="both"/>
        <w:rPr>
          <w:rFonts w:ascii="Verdana" w:hAnsi="Verdana"/>
          <w:sz w:val="20"/>
          <w:szCs w:val="20"/>
        </w:rPr>
      </w:pPr>
      <w:r w:rsidRPr="00C4409B">
        <w:rPr>
          <w:rFonts w:ascii="Verdana" w:hAnsi="Verdana"/>
          <w:sz w:val="20"/>
          <w:szCs w:val="20"/>
        </w:rPr>
        <w:t xml:space="preserve">Se mida el </w:t>
      </w:r>
      <w:r w:rsidR="00111BD7">
        <w:rPr>
          <w:rFonts w:ascii="Verdana" w:hAnsi="Verdana"/>
          <w:sz w:val="20"/>
          <w:szCs w:val="20"/>
        </w:rPr>
        <w:t>i</w:t>
      </w:r>
      <w:r w:rsidRPr="00C4409B">
        <w:rPr>
          <w:rFonts w:ascii="Verdana" w:hAnsi="Verdana"/>
          <w:sz w:val="20"/>
          <w:szCs w:val="20"/>
        </w:rPr>
        <w:t xml:space="preserve">ndicador de </w:t>
      </w:r>
      <w:r w:rsidR="00111BD7">
        <w:rPr>
          <w:rFonts w:ascii="Verdana" w:hAnsi="Verdana"/>
          <w:sz w:val="20"/>
          <w:szCs w:val="20"/>
        </w:rPr>
        <w:t>p</w:t>
      </w:r>
      <w:r w:rsidRPr="00C4409B">
        <w:rPr>
          <w:rFonts w:ascii="Verdana" w:hAnsi="Verdana"/>
          <w:sz w:val="20"/>
          <w:szCs w:val="20"/>
        </w:rPr>
        <w:t xml:space="preserve">érdida </w:t>
      </w:r>
      <w:r w:rsidR="00111BD7">
        <w:rPr>
          <w:rFonts w:ascii="Verdana" w:hAnsi="Verdana"/>
          <w:sz w:val="20"/>
          <w:szCs w:val="20"/>
        </w:rPr>
        <w:t>i</w:t>
      </w:r>
      <w:r w:rsidRPr="00C4409B">
        <w:rPr>
          <w:rFonts w:ascii="Verdana" w:hAnsi="Verdana"/>
          <w:sz w:val="20"/>
          <w:szCs w:val="20"/>
        </w:rPr>
        <w:t xml:space="preserve">nterna (IPI) con base en la información del </w:t>
      </w:r>
      <w:r w:rsidR="00111BD7">
        <w:rPr>
          <w:rFonts w:ascii="Verdana" w:hAnsi="Verdana"/>
          <w:sz w:val="20"/>
          <w:szCs w:val="20"/>
        </w:rPr>
        <w:t>r</w:t>
      </w:r>
      <w:r w:rsidRPr="00C4409B">
        <w:rPr>
          <w:rFonts w:ascii="Verdana" w:hAnsi="Verdana"/>
          <w:sz w:val="20"/>
          <w:szCs w:val="20"/>
        </w:rPr>
        <w:t xml:space="preserve">egistro de </w:t>
      </w:r>
      <w:r w:rsidR="00111BD7">
        <w:rPr>
          <w:rFonts w:ascii="Verdana" w:hAnsi="Verdana"/>
          <w:sz w:val="20"/>
          <w:szCs w:val="20"/>
        </w:rPr>
        <w:t>e</w:t>
      </w:r>
      <w:r w:rsidRPr="00C4409B">
        <w:rPr>
          <w:rFonts w:ascii="Verdana" w:hAnsi="Verdana"/>
          <w:sz w:val="20"/>
          <w:szCs w:val="20"/>
        </w:rPr>
        <w:t xml:space="preserve">ventos de </w:t>
      </w:r>
      <w:r w:rsidR="00111BD7">
        <w:rPr>
          <w:rFonts w:ascii="Verdana" w:hAnsi="Verdana"/>
          <w:sz w:val="20"/>
          <w:szCs w:val="20"/>
        </w:rPr>
        <w:t>r</w:t>
      </w:r>
      <w:r w:rsidRPr="00C4409B">
        <w:rPr>
          <w:rFonts w:ascii="Verdana" w:hAnsi="Verdana"/>
          <w:sz w:val="20"/>
          <w:szCs w:val="20"/>
        </w:rPr>
        <w:t xml:space="preserve">iesgo </w:t>
      </w:r>
      <w:r w:rsidR="00111BD7">
        <w:rPr>
          <w:rFonts w:ascii="Verdana" w:hAnsi="Verdana"/>
          <w:sz w:val="20"/>
          <w:szCs w:val="20"/>
        </w:rPr>
        <w:t>o</w:t>
      </w:r>
      <w:r w:rsidRPr="00C4409B">
        <w:rPr>
          <w:rFonts w:ascii="Verdana" w:hAnsi="Verdana"/>
          <w:sz w:val="20"/>
          <w:szCs w:val="20"/>
        </w:rPr>
        <w:t xml:space="preserve">peracional, es decir, haciendo uso del </w:t>
      </w:r>
      <w:r w:rsidR="00111BD7">
        <w:rPr>
          <w:rFonts w:ascii="Verdana" w:hAnsi="Verdana"/>
          <w:sz w:val="20"/>
          <w:szCs w:val="20"/>
        </w:rPr>
        <w:t>c</w:t>
      </w:r>
      <w:r w:rsidRPr="00C4409B">
        <w:rPr>
          <w:rFonts w:ascii="Verdana" w:hAnsi="Verdana"/>
          <w:sz w:val="20"/>
          <w:szCs w:val="20"/>
        </w:rPr>
        <w:t xml:space="preserve">omponente de </w:t>
      </w:r>
      <w:r w:rsidR="00111BD7">
        <w:rPr>
          <w:rFonts w:ascii="Verdana" w:hAnsi="Verdana"/>
          <w:sz w:val="20"/>
          <w:szCs w:val="20"/>
        </w:rPr>
        <w:t>p</w:t>
      </w:r>
      <w:r w:rsidRPr="00C4409B">
        <w:rPr>
          <w:rFonts w:ascii="Verdana" w:hAnsi="Verdana"/>
          <w:sz w:val="20"/>
          <w:szCs w:val="20"/>
        </w:rPr>
        <w:t xml:space="preserve">érdida (CP) de acuerdo con lo establecido en </w:t>
      </w:r>
      <w:r w:rsidR="00D633EF">
        <w:rPr>
          <w:rFonts w:ascii="Verdana" w:hAnsi="Verdana"/>
          <w:sz w:val="20"/>
          <w:szCs w:val="20"/>
        </w:rPr>
        <w:t>1.1.A13.33</w:t>
      </w:r>
      <w:r w:rsidRPr="00C4409B">
        <w:rPr>
          <w:rFonts w:ascii="Verdana" w:hAnsi="Verdana"/>
          <w:sz w:val="20"/>
          <w:szCs w:val="20"/>
        </w:rPr>
        <w:t>.</w:t>
      </w:r>
      <w:r w:rsidR="00D633EF">
        <w:rPr>
          <w:rFonts w:ascii="Verdana" w:hAnsi="Verdana"/>
          <w:sz w:val="20"/>
          <w:szCs w:val="20"/>
        </w:rPr>
        <w:t xml:space="preserve"> y 1.1.A13.4</w:t>
      </w:r>
      <w:r w:rsidR="00497C34">
        <w:rPr>
          <w:rFonts w:ascii="Verdana" w:hAnsi="Verdana"/>
          <w:sz w:val="20"/>
          <w:szCs w:val="20"/>
        </w:rPr>
        <w:t>2</w:t>
      </w:r>
      <w:r w:rsidR="00D633EF">
        <w:rPr>
          <w:rFonts w:ascii="Verdana" w:hAnsi="Verdana"/>
          <w:sz w:val="20"/>
          <w:szCs w:val="20"/>
        </w:rPr>
        <w:t xml:space="preserve">. de la </w:t>
      </w:r>
      <w:r w:rsidR="00F5486D">
        <w:rPr>
          <w:rFonts w:ascii="Verdana" w:hAnsi="Verdana"/>
          <w:sz w:val="20"/>
          <w:szCs w:val="20"/>
        </w:rPr>
        <w:t>CBF</w:t>
      </w:r>
      <w:r w:rsidR="00D633EF">
        <w:rPr>
          <w:rFonts w:ascii="Verdana" w:hAnsi="Verdana"/>
          <w:sz w:val="20"/>
          <w:szCs w:val="20"/>
        </w:rPr>
        <w:t xml:space="preserve">. </w:t>
      </w:r>
    </w:p>
    <w:p w14:paraId="443BE828" w14:textId="77777777" w:rsidR="00234797" w:rsidRPr="00234797" w:rsidRDefault="00234797" w:rsidP="00766CA6">
      <w:pPr>
        <w:pStyle w:val="Prrafodelista"/>
        <w:jc w:val="both"/>
        <w:rPr>
          <w:rFonts w:ascii="Verdana" w:hAnsi="Verdana"/>
          <w:sz w:val="20"/>
          <w:szCs w:val="20"/>
        </w:rPr>
      </w:pPr>
    </w:p>
    <w:p w14:paraId="074CB847" w14:textId="4F2557BC" w:rsidR="00F7424D" w:rsidRPr="00732E97" w:rsidRDefault="00F7424D"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Control</w:t>
      </w:r>
    </w:p>
    <w:p w14:paraId="25462BC0" w14:textId="0D13DF19" w:rsidR="00F7424D" w:rsidRPr="0086035E" w:rsidRDefault="00F7424D"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5E58A5">
        <w:rPr>
          <w:rFonts w:ascii="Verdana" w:hAnsi="Verdana"/>
          <w:sz w:val="20"/>
          <w:szCs w:val="20"/>
        </w:rPr>
        <w:t>131</w:t>
      </w:r>
      <w:r w:rsidRPr="0086035E">
        <w:rPr>
          <w:rFonts w:ascii="Verdana" w:hAnsi="Verdana"/>
          <w:sz w:val="20"/>
          <w:szCs w:val="20"/>
        </w:rPr>
        <w:t>.</w:t>
      </w:r>
    </w:p>
    <w:p w14:paraId="100921D2" w14:textId="56F7C13C" w:rsidR="00F7424D" w:rsidRDefault="008B3817" w:rsidP="00766CA6">
      <w:pPr>
        <w:jc w:val="both"/>
        <w:rPr>
          <w:rFonts w:ascii="Verdana" w:hAnsi="Verdana"/>
          <w:sz w:val="20"/>
          <w:szCs w:val="20"/>
        </w:rPr>
      </w:pPr>
      <w:r w:rsidRPr="008B3817">
        <w:rPr>
          <w:rFonts w:ascii="Verdana" w:hAnsi="Verdana"/>
          <w:sz w:val="20"/>
          <w:szCs w:val="20"/>
        </w:rPr>
        <w:t>La entidad debe tomar medidas para controlar el riesgo inherente al que se ve expuesta con el fin de disminuir la probabilidad de ocurrencia y/o el impacto en caso de que se materialice.</w:t>
      </w:r>
      <w:r w:rsidR="00F7424D" w:rsidRPr="00007259">
        <w:rPr>
          <w:rFonts w:ascii="Verdana" w:hAnsi="Verdana"/>
          <w:sz w:val="20"/>
          <w:szCs w:val="20"/>
        </w:rPr>
        <w:t xml:space="preserve"> </w:t>
      </w:r>
      <w:r w:rsidR="004B0CF8" w:rsidRPr="004B0CF8">
        <w:rPr>
          <w:rFonts w:ascii="Verdana" w:hAnsi="Verdana"/>
          <w:sz w:val="20"/>
          <w:szCs w:val="20"/>
        </w:rPr>
        <w:t>Durante esta etapa la entidad debe, como mínimo:</w:t>
      </w:r>
    </w:p>
    <w:p w14:paraId="74734531" w14:textId="77777777" w:rsidR="00A46EF8" w:rsidRDefault="003B40EF" w:rsidP="00766CA6">
      <w:pPr>
        <w:pStyle w:val="Prrafodelista"/>
        <w:numPr>
          <w:ilvl w:val="0"/>
          <w:numId w:val="52"/>
        </w:numPr>
        <w:ind w:left="567" w:hanging="567"/>
        <w:jc w:val="both"/>
        <w:rPr>
          <w:rFonts w:ascii="Verdana" w:hAnsi="Verdana"/>
          <w:sz w:val="20"/>
          <w:szCs w:val="20"/>
        </w:rPr>
      </w:pPr>
      <w:r w:rsidRPr="003B40EF">
        <w:rPr>
          <w:rFonts w:ascii="Verdana" w:hAnsi="Verdana"/>
          <w:sz w:val="20"/>
          <w:szCs w:val="20"/>
        </w:rPr>
        <w:t>Establecer la metodología con base en la cual se definen las medidas de control de los riesgos operacionales.</w:t>
      </w:r>
    </w:p>
    <w:p w14:paraId="78918CF0" w14:textId="77777777" w:rsidR="00A46EF8" w:rsidRDefault="00A46EF8" w:rsidP="00766CA6">
      <w:pPr>
        <w:pStyle w:val="Prrafodelista"/>
        <w:ind w:left="567"/>
        <w:jc w:val="both"/>
        <w:rPr>
          <w:rFonts w:ascii="Verdana" w:hAnsi="Verdana"/>
          <w:sz w:val="20"/>
          <w:szCs w:val="20"/>
        </w:rPr>
      </w:pPr>
    </w:p>
    <w:p w14:paraId="1DD5EE6D" w14:textId="653915A2" w:rsidR="00A46EF8" w:rsidRDefault="003B40EF" w:rsidP="00766CA6">
      <w:pPr>
        <w:pStyle w:val="Prrafodelista"/>
        <w:numPr>
          <w:ilvl w:val="0"/>
          <w:numId w:val="52"/>
        </w:numPr>
        <w:ind w:left="567" w:hanging="567"/>
        <w:jc w:val="both"/>
        <w:rPr>
          <w:rFonts w:ascii="Verdana" w:hAnsi="Verdana"/>
          <w:sz w:val="20"/>
          <w:szCs w:val="20"/>
        </w:rPr>
      </w:pPr>
      <w:r w:rsidRPr="00A46EF8">
        <w:rPr>
          <w:rFonts w:ascii="Verdana" w:hAnsi="Verdana"/>
          <w:sz w:val="20"/>
          <w:szCs w:val="20"/>
        </w:rPr>
        <w:t xml:space="preserve">De acuerdo con la metodología establecida en desarrollo del literal anterior, implementar las medidas de control </w:t>
      </w:r>
      <w:r w:rsidR="00D32420">
        <w:rPr>
          <w:rFonts w:ascii="Verdana" w:hAnsi="Verdana"/>
          <w:sz w:val="20"/>
          <w:szCs w:val="20"/>
        </w:rPr>
        <w:t>efectivas</w:t>
      </w:r>
      <w:r w:rsidRPr="00A46EF8">
        <w:rPr>
          <w:rFonts w:ascii="Verdana" w:hAnsi="Verdana"/>
          <w:sz w:val="20"/>
          <w:szCs w:val="20"/>
        </w:rPr>
        <w:t xml:space="preserve"> </w:t>
      </w:r>
      <w:r w:rsidR="007E5C72">
        <w:rPr>
          <w:rFonts w:ascii="Verdana" w:hAnsi="Verdana"/>
          <w:sz w:val="20"/>
          <w:szCs w:val="20"/>
        </w:rPr>
        <w:t>para mitigar</w:t>
      </w:r>
      <w:r w:rsidRPr="00A46EF8">
        <w:rPr>
          <w:rFonts w:ascii="Verdana" w:hAnsi="Verdana"/>
          <w:sz w:val="20"/>
          <w:szCs w:val="20"/>
        </w:rPr>
        <w:t xml:space="preserve"> cada uno de los riesgos operacionales</w:t>
      </w:r>
      <w:r w:rsidR="007E5C72">
        <w:rPr>
          <w:rFonts w:ascii="Verdana" w:hAnsi="Verdana"/>
          <w:sz w:val="20"/>
          <w:szCs w:val="20"/>
        </w:rPr>
        <w:t xml:space="preserve"> identificados</w:t>
      </w:r>
      <w:r w:rsidRPr="00A46EF8">
        <w:rPr>
          <w:rFonts w:ascii="Verdana" w:hAnsi="Verdana"/>
          <w:sz w:val="20"/>
          <w:szCs w:val="20"/>
        </w:rPr>
        <w:t>.</w:t>
      </w:r>
    </w:p>
    <w:p w14:paraId="33287C14" w14:textId="77777777" w:rsidR="00A46EF8" w:rsidRPr="00A46EF8" w:rsidRDefault="00A46EF8" w:rsidP="00766CA6">
      <w:pPr>
        <w:pStyle w:val="Prrafodelista"/>
        <w:jc w:val="both"/>
        <w:rPr>
          <w:rFonts w:ascii="Verdana" w:hAnsi="Verdana"/>
          <w:sz w:val="20"/>
          <w:szCs w:val="20"/>
        </w:rPr>
      </w:pPr>
    </w:p>
    <w:p w14:paraId="6D911EAA" w14:textId="77777777" w:rsidR="00A46EF8" w:rsidRDefault="003B40EF" w:rsidP="00766CA6">
      <w:pPr>
        <w:pStyle w:val="Prrafodelista"/>
        <w:numPr>
          <w:ilvl w:val="0"/>
          <w:numId w:val="52"/>
        </w:numPr>
        <w:ind w:left="567" w:hanging="567"/>
        <w:jc w:val="both"/>
        <w:rPr>
          <w:rFonts w:ascii="Verdana" w:hAnsi="Verdana"/>
          <w:sz w:val="20"/>
          <w:szCs w:val="20"/>
        </w:rPr>
      </w:pPr>
      <w:r w:rsidRPr="00A46EF8">
        <w:rPr>
          <w:rFonts w:ascii="Verdana" w:hAnsi="Verdana"/>
          <w:sz w:val="20"/>
          <w:szCs w:val="20"/>
        </w:rPr>
        <w:t>Determinar las medidas que permitan asegurar la continuidad del negocio.</w:t>
      </w:r>
    </w:p>
    <w:p w14:paraId="7352406A" w14:textId="77777777" w:rsidR="00A46EF8" w:rsidRPr="00A46EF8" w:rsidRDefault="00A46EF8" w:rsidP="00766CA6">
      <w:pPr>
        <w:pStyle w:val="Prrafodelista"/>
        <w:jc w:val="both"/>
        <w:rPr>
          <w:rFonts w:ascii="Verdana" w:hAnsi="Verdana"/>
          <w:sz w:val="20"/>
          <w:szCs w:val="20"/>
        </w:rPr>
      </w:pPr>
    </w:p>
    <w:p w14:paraId="2A7B7F89" w14:textId="07373FA4" w:rsidR="003B40EF" w:rsidRPr="00A46EF8" w:rsidRDefault="003B40EF" w:rsidP="00766CA6">
      <w:pPr>
        <w:pStyle w:val="Prrafodelista"/>
        <w:numPr>
          <w:ilvl w:val="0"/>
          <w:numId w:val="52"/>
        </w:numPr>
        <w:ind w:left="567" w:hanging="567"/>
        <w:jc w:val="both"/>
        <w:rPr>
          <w:rFonts w:ascii="Verdana" w:hAnsi="Verdana"/>
          <w:sz w:val="20"/>
          <w:szCs w:val="20"/>
        </w:rPr>
      </w:pPr>
      <w:r w:rsidRPr="00A46EF8">
        <w:rPr>
          <w:rFonts w:ascii="Verdana" w:hAnsi="Verdana"/>
          <w:sz w:val="20"/>
          <w:szCs w:val="20"/>
        </w:rPr>
        <w:t>Estar en capacidad de determinar el perfil de riesgo operacional neto de la entidad.</w:t>
      </w:r>
    </w:p>
    <w:p w14:paraId="49632A30" w14:textId="1AAB2FA8" w:rsidR="00F7424D" w:rsidRPr="0086035E" w:rsidRDefault="00F7424D"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C3709E">
        <w:rPr>
          <w:rFonts w:ascii="Verdana" w:hAnsi="Verdana"/>
          <w:sz w:val="20"/>
          <w:szCs w:val="20"/>
        </w:rPr>
        <w:t>32</w:t>
      </w:r>
      <w:r w:rsidRPr="0086035E">
        <w:rPr>
          <w:rFonts w:ascii="Verdana" w:hAnsi="Verdana"/>
          <w:sz w:val="20"/>
          <w:szCs w:val="20"/>
        </w:rPr>
        <w:t>.</w:t>
      </w:r>
    </w:p>
    <w:p w14:paraId="1FDD933D" w14:textId="7B80C130" w:rsidR="006D7901" w:rsidRDefault="00C3709E" w:rsidP="00766CA6">
      <w:pPr>
        <w:jc w:val="both"/>
        <w:rPr>
          <w:rFonts w:ascii="Verdana" w:hAnsi="Verdana"/>
          <w:sz w:val="20"/>
          <w:szCs w:val="20"/>
        </w:rPr>
      </w:pPr>
      <w:r w:rsidRPr="00787FAE">
        <w:rPr>
          <w:rFonts w:ascii="Verdana" w:hAnsi="Verdana"/>
          <w:sz w:val="20"/>
          <w:szCs w:val="20"/>
        </w:rPr>
        <w:t>Sin perjuicio de lo establecido en el párrafo anterior,</w:t>
      </w:r>
      <w:r w:rsidRPr="00C3709E">
        <w:rPr>
          <w:rFonts w:ascii="Verdana" w:hAnsi="Verdana"/>
          <w:sz w:val="20"/>
          <w:szCs w:val="20"/>
        </w:rPr>
        <w:t xml:space="preserve"> la entidad puede decidir si transfiere, mitiga, acepta o evita el riesgo operacional, en los casos en que esto sea posible.</w:t>
      </w:r>
    </w:p>
    <w:p w14:paraId="26D6DFF1" w14:textId="1E0423C9" w:rsidR="000410EC" w:rsidRPr="0086035E" w:rsidRDefault="000410EC"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3</w:t>
      </w:r>
      <w:r w:rsidR="006A136C">
        <w:rPr>
          <w:rFonts w:ascii="Verdana" w:hAnsi="Verdana"/>
          <w:sz w:val="20"/>
          <w:szCs w:val="20"/>
        </w:rPr>
        <w:t>3</w:t>
      </w:r>
      <w:r w:rsidRPr="0086035E">
        <w:rPr>
          <w:rFonts w:ascii="Verdana" w:hAnsi="Verdana"/>
          <w:sz w:val="20"/>
          <w:szCs w:val="20"/>
        </w:rPr>
        <w:t>.</w:t>
      </w:r>
    </w:p>
    <w:p w14:paraId="7C56566A" w14:textId="080C936F" w:rsidR="00F7424D" w:rsidRDefault="005A1A96" w:rsidP="00766CA6">
      <w:pPr>
        <w:jc w:val="both"/>
        <w:rPr>
          <w:rFonts w:ascii="Verdana" w:hAnsi="Verdana"/>
          <w:sz w:val="20"/>
          <w:szCs w:val="20"/>
        </w:rPr>
      </w:pPr>
      <w:r w:rsidRPr="005A1A96">
        <w:rPr>
          <w:rFonts w:ascii="Verdana" w:hAnsi="Verdana"/>
          <w:sz w:val="20"/>
          <w:szCs w:val="20"/>
        </w:rPr>
        <w:t>La utilización de ciertas medidas como la contratación de un seguro o tercerización (outsourcing), puede ser fuente generadora de otros riesgos operacionales, los cuales deben ser administrados por la entidad.</w:t>
      </w:r>
    </w:p>
    <w:p w14:paraId="0F26ECDF" w14:textId="31A036F8" w:rsidR="00E00FD7" w:rsidRPr="00196E63" w:rsidRDefault="00196E63" w:rsidP="00766CA6">
      <w:pPr>
        <w:pStyle w:val="Prrafodelista"/>
        <w:numPr>
          <w:ilvl w:val="0"/>
          <w:numId w:val="6"/>
        </w:numPr>
        <w:ind w:left="567" w:hanging="283"/>
        <w:jc w:val="both"/>
        <w:rPr>
          <w:rFonts w:ascii="Verdana" w:hAnsi="Verdana"/>
          <w:b/>
          <w:bCs/>
          <w:sz w:val="20"/>
          <w:szCs w:val="20"/>
        </w:rPr>
      </w:pPr>
      <w:r w:rsidRPr="00196E63">
        <w:rPr>
          <w:rFonts w:ascii="Verdana" w:hAnsi="Verdana"/>
          <w:b/>
          <w:bCs/>
          <w:sz w:val="20"/>
          <w:szCs w:val="20"/>
        </w:rPr>
        <w:t>Tercerización - Outsourcing</w:t>
      </w:r>
    </w:p>
    <w:p w14:paraId="0DD56BEB" w14:textId="79CB0A5F" w:rsidR="00535193" w:rsidRPr="00535193" w:rsidRDefault="00535193" w:rsidP="00766CA6">
      <w:pPr>
        <w:spacing w:after="0"/>
        <w:jc w:val="both"/>
        <w:rPr>
          <w:rFonts w:ascii="Verdana" w:hAnsi="Verdana"/>
          <w:sz w:val="20"/>
          <w:szCs w:val="20"/>
        </w:rPr>
      </w:pPr>
      <w:r w:rsidRPr="00535193">
        <w:rPr>
          <w:rFonts w:ascii="Verdana" w:hAnsi="Verdana"/>
          <w:sz w:val="20"/>
          <w:szCs w:val="20"/>
        </w:rPr>
        <w:t>1.1.2.13</w:t>
      </w:r>
      <w:r w:rsidR="006D7901">
        <w:rPr>
          <w:rFonts w:ascii="Verdana" w:hAnsi="Verdana"/>
          <w:sz w:val="20"/>
          <w:szCs w:val="20"/>
        </w:rPr>
        <w:t>4</w:t>
      </w:r>
      <w:r w:rsidRPr="00535193">
        <w:rPr>
          <w:rFonts w:ascii="Verdana" w:hAnsi="Verdana"/>
          <w:sz w:val="20"/>
          <w:szCs w:val="20"/>
        </w:rPr>
        <w:t>.</w:t>
      </w:r>
    </w:p>
    <w:p w14:paraId="4F99BF0E" w14:textId="3EF3E6FE" w:rsidR="00535193" w:rsidRDefault="00237304" w:rsidP="00766CA6">
      <w:pPr>
        <w:jc w:val="both"/>
        <w:rPr>
          <w:rFonts w:ascii="Verdana" w:hAnsi="Verdana"/>
          <w:sz w:val="20"/>
          <w:szCs w:val="20"/>
        </w:rPr>
      </w:pPr>
      <w:r w:rsidRPr="00237304">
        <w:rPr>
          <w:rFonts w:ascii="Verdana" w:hAnsi="Verdana"/>
          <w:sz w:val="20"/>
          <w:szCs w:val="20"/>
        </w:rPr>
        <w:t>La entidad podrá contratar bajo la modalidad de tercerización a personas naturales y/o jurídicas para el desarrollo de sus procesos, siempre que no implique la delegación de la profesionalidad. En todo caso, la entidad debe: (i) realizar un análisis de riesgo para determinar los procesos y/o actividades a tercerizar; (</w:t>
      </w:r>
      <w:proofErr w:type="spellStart"/>
      <w:r w:rsidRPr="00237304">
        <w:rPr>
          <w:rFonts w:ascii="Verdana" w:hAnsi="Verdana"/>
          <w:sz w:val="20"/>
          <w:szCs w:val="20"/>
        </w:rPr>
        <w:t>ii</w:t>
      </w:r>
      <w:proofErr w:type="spellEnd"/>
      <w:r w:rsidRPr="00237304">
        <w:rPr>
          <w:rFonts w:ascii="Verdana" w:hAnsi="Verdana"/>
          <w:sz w:val="20"/>
          <w:szCs w:val="20"/>
        </w:rPr>
        <w:t>) comprender el riesgo operacional asociado a los procesos y/o actividades tercerizadas; (</w:t>
      </w:r>
      <w:proofErr w:type="spellStart"/>
      <w:r w:rsidRPr="00237304">
        <w:rPr>
          <w:rFonts w:ascii="Verdana" w:hAnsi="Verdana"/>
          <w:sz w:val="20"/>
          <w:szCs w:val="20"/>
        </w:rPr>
        <w:t>iii</w:t>
      </w:r>
      <w:proofErr w:type="spellEnd"/>
      <w:r w:rsidRPr="00237304">
        <w:rPr>
          <w:rFonts w:ascii="Verdana" w:hAnsi="Verdana"/>
          <w:sz w:val="20"/>
          <w:szCs w:val="20"/>
        </w:rPr>
        <w:t>) contar con políticas eficaces para incorporar en su estrategia de riesgos, aquellos derivados de la tercerización; y (</w:t>
      </w:r>
      <w:proofErr w:type="spellStart"/>
      <w:r w:rsidRPr="00237304">
        <w:rPr>
          <w:rFonts w:ascii="Verdana" w:hAnsi="Verdana"/>
          <w:sz w:val="20"/>
          <w:szCs w:val="20"/>
        </w:rPr>
        <w:t>iv</w:t>
      </w:r>
      <w:proofErr w:type="spellEnd"/>
      <w:r w:rsidRPr="00237304">
        <w:rPr>
          <w:rFonts w:ascii="Verdana" w:hAnsi="Verdana"/>
          <w:sz w:val="20"/>
          <w:szCs w:val="20"/>
        </w:rPr>
        <w:t>) determinar dentro de los procesos y/o actividades tercerizadas aquellos que se consideren críticos. Tratándose de los procesos y/o actividades identificadas como críticos para la entidad, se debe cumplir como mínimo con los siguientes requerimientos:</w:t>
      </w:r>
    </w:p>
    <w:p w14:paraId="551BC151" w14:textId="77777777" w:rsidR="00A8031D" w:rsidRDefault="0017784B" w:rsidP="00766CA6">
      <w:pPr>
        <w:pStyle w:val="Prrafodelista"/>
        <w:numPr>
          <w:ilvl w:val="0"/>
          <w:numId w:val="53"/>
        </w:numPr>
        <w:ind w:left="567" w:hanging="567"/>
        <w:jc w:val="both"/>
        <w:rPr>
          <w:rFonts w:ascii="Verdana" w:hAnsi="Verdana"/>
          <w:sz w:val="20"/>
          <w:szCs w:val="20"/>
        </w:rPr>
      </w:pPr>
      <w:r w:rsidRPr="0017784B">
        <w:rPr>
          <w:rFonts w:ascii="Verdana" w:hAnsi="Verdana"/>
          <w:sz w:val="20"/>
          <w:szCs w:val="20"/>
        </w:rPr>
        <w:t>Definir los criterios y procedimientos a partir de los cuales se seleccionarán los terceros.</w:t>
      </w:r>
    </w:p>
    <w:p w14:paraId="76F52066" w14:textId="77777777" w:rsidR="00A8031D" w:rsidRDefault="00A8031D" w:rsidP="00766CA6">
      <w:pPr>
        <w:pStyle w:val="Prrafodelista"/>
        <w:ind w:left="567"/>
        <w:jc w:val="both"/>
        <w:rPr>
          <w:rFonts w:ascii="Verdana" w:hAnsi="Verdana"/>
          <w:sz w:val="20"/>
          <w:szCs w:val="20"/>
        </w:rPr>
      </w:pPr>
    </w:p>
    <w:p w14:paraId="0F09FB47" w14:textId="2FBED747" w:rsidR="001C0A1B" w:rsidRDefault="0017784B" w:rsidP="00766CA6">
      <w:pPr>
        <w:pStyle w:val="Prrafodelista"/>
        <w:numPr>
          <w:ilvl w:val="0"/>
          <w:numId w:val="53"/>
        </w:numPr>
        <w:ind w:left="567" w:hanging="567"/>
        <w:jc w:val="both"/>
        <w:rPr>
          <w:rFonts w:ascii="Verdana" w:hAnsi="Verdana"/>
          <w:sz w:val="20"/>
          <w:szCs w:val="20"/>
        </w:rPr>
      </w:pPr>
      <w:r w:rsidRPr="00A8031D">
        <w:rPr>
          <w:rFonts w:ascii="Verdana" w:hAnsi="Verdana"/>
          <w:sz w:val="20"/>
          <w:szCs w:val="20"/>
        </w:rPr>
        <w:t xml:space="preserve">Incluir en los contratos que se celebren con los terceros, o en aquellos que se prorroguen a partir de la vigencia del presente </w:t>
      </w:r>
      <w:r w:rsidR="004904E5">
        <w:rPr>
          <w:rFonts w:ascii="Verdana" w:hAnsi="Verdana"/>
          <w:sz w:val="20"/>
          <w:szCs w:val="20"/>
        </w:rPr>
        <w:t>c</w:t>
      </w:r>
      <w:r w:rsidRPr="00A8031D">
        <w:rPr>
          <w:rFonts w:ascii="Verdana" w:hAnsi="Verdana"/>
          <w:sz w:val="20"/>
          <w:szCs w:val="20"/>
        </w:rPr>
        <w:t>apítulo, al menos, los siguientes aspectos:</w:t>
      </w:r>
    </w:p>
    <w:p w14:paraId="7F928C12" w14:textId="496AE4D0" w:rsidR="00351E76" w:rsidRDefault="00351E76" w:rsidP="00766CA6">
      <w:pPr>
        <w:pStyle w:val="Prrafodelista"/>
        <w:jc w:val="both"/>
        <w:rPr>
          <w:rFonts w:ascii="Verdana" w:hAnsi="Verdana"/>
          <w:sz w:val="20"/>
          <w:szCs w:val="20"/>
        </w:rPr>
      </w:pPr>
    </w:p>
    <w:p w14:paraId="7DF1B852" w14:textId="77777777" w:rsidR="002D1F02" w:rsidRDefault="001C0A1B" w:rsidP="00766CA6">
      <w:pPr>
        <w:pStyle w:val="Prrafodelista"/>
        <w:numPr>
          <w:ilvl w:val="0"/>
          <w:numId w:val="54"/>
        </w:numPr>
        <w:ind w:left="1134" w:hanging="567"/>
        <w:jc w:val="both"/>
        <w:rPr>
          <w:rFonts w:ascii="Verdana" w:hAnsi="Verdana"/>
          <w:sz w:val="20"/>
          <w:szCs w:val="20"/>
        </w:rPr>
      </w:pPr>
      <w:r w:rsidRPr="002D1F02">
        <w:rPr>
          <w:rFonts w:ascii="Verdana" w:hAnsi="Verdana"/>
          <w:sz w:val="20"/>
          <w:szCs w:val="20"/>
        </w:rPr>
        <w:t>Obligaciones de las partes.</w:t>
      </w:r>
    </w:p>
    <w:p w14:paraId="55696D1E" w14:textId="77777777" w:rsidR="002D1F02" w:rsidRDefault="002D1F02" w:rsidP="00766CA6">
      <w:pPr>
        <w:pStyle w:val="Prrafodelista"/>
        <w:ind w:left="1134"/>
        <w:jc w:val="both"/>
        <w:rPr>
          <w:rFonts w:ascii="Verdana" w:hAnsi="Verdana"/>
          <w:sz w:val="20"/>
          <w:szCs w:val="20"/>
        </w:rPr>
      </w:pPr>
    </w:p>
    <w:p w14:paraId="0FDC81D3" w14:textId="77777777" w:rsidR="002D1F02" w:rsidRDefault="001C0A1B" w:rsidP="00766CA6">
      <w:pPr>
        <w:pStyle w:val="Prrafodelista"/>
        <w:numPr>
          <w:ilvl w:val="0"/>
          <w:numId w:val="54"/>
        </w:numPr>
        <w:ind w:left="1134" w:hanging="567"/>
        <w:jc w:val="both"/>
        <w:rPr>
          <w:rFonts w:ascii="Verdana" w:hAnsi="Verdana"/>
          <w:sz w:val="20"/>
          <w:szCs w:val="20"/>
        </w:rPr>
      </w:pPr>
      <w:r w:rsidRPr="002D1F02">
        <w:rPr>
          <w:rFonts w:ascii="Verdana" w:hAnsi="Verdana"/>
          <w:sz w:val="20"/>
          <w:szCs w:val="20"/>
        </w:rPr>
        <w:t>Niveles de servicio.</w:t>
      </w:r>
    </w:p>
    <w:p w14:paraId="196D3799" w14:textId="77777777" w:rsidR="002D1F02" w:rsidRPr="002D1F02" w:rsidRDefault="002D1F02" w:rsidP="00766CA6">
      <w:pPr>
        <w:pStyle w:val="Prrafodelista"/>
        <w:jc w:val="both"/>
        <w:rPr>
          <w:rFonts w:ascii="Verdana" w:hAnsi="Verdana"/>
          <w:sz w:val="20"/>
          <w:szCs w:val="20"/>
        </w:rPr>
      </w:pPr>
    </w:p>
    <w:p w14:paraId="5686B982" w14:textId="77777777" w:rsidR="002D1F02" w:rsidRDefault="001C0A1B" w:rsidP="00766CA6">
      <w:pPr>
        <w:pStyle w:val="Prrafodelista"/>
        <w:numPr>
          <w:ilvl w:val="0"/>
          <w:numId w:val="54"/>
        </w:numPr>
        <w:ind w:left="1134" w:hanging="567"/>
        <w:jc w:val="both"/>
        <w:rPr>
          <w:rFonts w:ascii="Verdana" w:hAnsi="Verdana"/>
          <w:sz w:val="20"/>
          <w:szCs w:val="20"/>
        </w:rPr>
      </w:pPr>
      <w:r w:rsidRPr="002D1F02">
        <w:rPr>
          <w:rFonts w:ascii="Verdana" w:hAnsi="Verdana"/>
          <w:sz w:val="20"/>
          <w:szCs w:val="20"/>
        </w:rPr>
        <w:t>Operación en situaciones contingentes.</w:t>
      </w:r>
    </w:p>
    <w:p w14:paraId="09878533" w14:textId="77777777" w:rsidR="002D1F02" w:rsidRPr="002D1F02" w:rsidRDefault="002D1F02" w:rsidP="00766CA6">
      <w:pPr>
        <w:pStyle w:val="Prrafodelista"/>
        <w:jc w:val="both"/>
        <w:rPr>
          <w:rFonts w:ascii="Verdana" w:hAnsi="Verdana"/>
          <w:sz w:val="20"/>
          <w:szCs w:val="20"/>
        </w:rPr>
      </w:pPr>
    </w:p>
    <w:p w14:paraId="5FBA7A9C" w14:textId="77777777" w:rsidR="002D1F02" w:rsidRDefault="001C0A1B" w:rsidP="00766CA6">
      <w:pPr>
        <w:pStyle w:val="Prrafodelista"/>
        <w:numPr>
          <w:ilvl w:val="0"/>
          <w:numId w:val="54"/>
        </w:numPr>
        <w:ind w:left="1134" w:hanging="567"/>
        <w:jc w:val="both"/>
        <w:rPr>
          <w:rFonts w:ascii="Verdana" w:hAnsi="Verdana"/>
          <w:sz w:val="20"/>
          <w:szCs w:val="20"/>
        </w:rPr>
      </w:pPr>
      <w:r w:rsidRPr="002D1F02">
        <w:rPr>
          <w:rFonts w:ascii="Verdana" w:hAnsi="Verdana"/>
          <w:sz w:val="20"/>
          <w:szCs w:val="20"/>
        </w:rPr>
        <w:t>Gestión de los riesgos operacionales que puedan afectar el cumplimiento de las obligaciones del tercero.</w:t>
      </w:r>
    </w:p>
    <w:p w14:paraId="0FFE907C" w14:textId="77777777" w:rsidR="002D1F02" w:rsidRPr="002D1F02" w:rsidRDefault="002D1F02" w:rsidP="00766CA6">
      <w:pPr>
        <w:pStyle w:val="Prrafodelista"/>
        <w:jc w:val="both"/>
        <w:rPr>
          <w:rFonts w:ascii="Verdana" w:hAnsi="Verdana"/>
          <w:sz w:val="20"/>
          <w:szCs w:val="20"/>
        </w:rPr>
      </w:pPr>
    </w:p>
    <w:p w14:paraId="51BC29BF" w14:textId="2C5ADD98" w:rsidR="001C0A1B" w:rsidRPr="00032055" w:rsidRDefault="001C0A1B" w:rsidP="00766CA6">
      <w:pPr>
        <w:pStyle w:val="Prrafodelista"/>
        <w:numPr>
          <w:ilvl w:val="0"/>
          <w:numId w:val="54"/>
        </w:numPr>
        <w:ind w:left="1134" w:hanging="567"/>
        <w:jc w:val="both"/>
        <w:rPr>
          <w:rFonts w:ascii="Verdana" w:hAnsi="Verdana"/>
          <w:sz w:val="20"/>
          <w:szCs w:val="20"/>
        </w:rPr>
      </w:pPr>
      <w:r w:rsidRPr="002D1F02">
        <w:rPr>
          <w:rFonts w:ascii="Verdana" w:hAnsi="Verdana"/>
          <w:sz w:val="20"/>
          <w:szCs w:val="20"/>
        </w:rPr>
        <w:t>Acuerdos de confidencialidad sobre la información manejada y las actividades desarrolladas.</w:t>
      </w:r>
    </w:p>
    <w:p w14:paraId="478929E2" w14:textId="77777777" w:rsidR="00A8031D" w:rsidRPr="00A8031D" w:rsidRDefault="00A8031D" w:rsidP="00766CA6">
      <w:pPr>
        <w:pStyle w:val="Prrafodelista"/>
        <w:jc w:val="both"/>
        <w:rPr>
          <w:rFonts w:ascii="Verdana" w:hAnsi="Verdana"/>
          <w:sz w:val="20"/>
          <w:szCs w:val="20"/>
        </w:rPr>
      </w:pPr>
    </w:p>
    <w:p w14:paraId="490E85EB" w14:textId="77777777" w:rsidR="00A8031D" w:rsidRDefault="0017784B" w:rsidP="00766CA6">
      <w:pPr>
        <w:pStyle w:val="Prrafodelista"/>
        <w:numPr>
          <w:ilvl w:val="0"/>
          <w:numId w:val="53"/>
        </w:numPr>
        <w:ind w:left="567" w:hanging="567"/>
        <w:jc w:val="both"/>
        <w:rPr>
          <w:rFonts w:ascii="Verdana" w:hAnsi="Verdana"/>
          <w:sz w:val="20"/>
          <w:szCs w:val="20"/>
        </w:rPr>
      </w:pPr>
      <w:r w:rsidRPr="00A8031D">
        <w:rPr>
          <w:rFonts w:ascii="Verdana" w:hAnsi="Verdana"/>
          <w:sz w:val="20"/>
          <w:szCs w:val="20"/>
        </w:rPr>
        <w:t>Gestionar los riesgos que se derivan de la prestación del servicio por parte del tercero, en particular, cuando atiende a varias entidades.</w:t>
      </w:r>
    </w:p>
    <w:p w14:paraId="4D3452ED" w14:textId="77777777" w:rsidR="00A8031D" w:rsidRPr="00A8031D" w:rsidRDefault="00A8031D" w:rsidP="00766CA6">
      <w:pPr>
        <w:pStyle w:val="Prrafodelista"/>
        <w:jc w:val="both"/>
        <w:rPr>
          <w:rFonts w:ascii="Verdana" w:hAnsi="Verdana"/>
          <w:sz w:val="20"/>
          <w:szCs w:val="20"/>
        </w:rPr>
      </w:pPr>
    </w:p>
    <w:p w14:paraId="00DA4136" w14:textId="77777777" w:rsidR="00A8031D" w:rsidRDefault="0017784B" w:rsidP="00766CA6">
      <w:pPr>
        <w:pStyle w:val="Prrafodelista"/>
        <w:numPr>
          <w:ilvl w:val="0"/>
          <w:numId w:val="53"/>
        </w:numPr>
        <w:ind w:left="567" w:hanging="567"/>
        <w:jc w:val="both"/>
        <w:rPr>
          <w:rFonts w:ascii="Verdana" w:hAnsi="Verdana"/>
          <w:sz w:val="20"/>
          <w:szCs w:val="20"/>
        </w:rPr>
      </w:pPr>
      <w:r w:rsidRPr="00A8031D">
        <w:rPr>
          <w:rFonts w:ascii="Verdana" w:hAnsi="Verdana"/>
          <w:sz w:val="20"/>
          <w:szCs w:val="20"/>
        </w:rPr>
        <w:t>Contar con los procedimientos necesarios para verificar el cumplimiento de las obligaciones por parte del tercero.</w:t>
      </w:r>
    </w:p>
    <w:p w14:paraId="50047042" w14:textId="77777777" w:rsidR="00A8031D" w:rsidRPr="00A8031D" w:rsidRDefault="00A8031D" w:rsidP="00766CA6">
      <w:pPr>
        <w:pStyle w:val="Prrafodelista"/>
        <w:jc w:val="both"/>
        <w:rPr>
          <w:rFonts w:ascii="Verdana" w:hAnsi="Verdana"/>
          <w:sz w:val="20"/>
          <w:szCs w:val="20"/>
        </w:rPr>
      </w:pPr>
    </w:p>
    <w:p w14:paraId="3D445EB9" w14:textId="5C24CCF2" w:rsidR="0017784B" w:rsidRPr="00BA3A2E" w:rsidRDefault="0017784B" w:rsidP="00766CA6">
      <w:pPr>
        <w:pStyle w:val="Prrafodelista"/>
        <w:numPr>
          <w:ilvl w:val="0"/>
          <w:numId w:val="53"/>
        </w:numPr>
        <w:ind w:left="567" w:hanging="567"/>
        <w:jc w:val="both"/>
        <w:rPr>
          <w:rFonts w:ascii="Verdana" w:hAnsi="Verdana"/>
          <w:sz w:val="20"/>
          <w:szCs w:val="20"/>
        </w:rPr>
      </w:pPr>
      <w:r w:rsidRPr="00A8031D">
        <w:rPr>
          <w:rFonts w:ascii="Verdana" w:hAnsi="Verdana"/>
          <w:sz w:val="20"/>
          <w:szCs w:val="20"/>
        </w:rPr>
        <w:t>Incluir dentro del alcance de las evaluaciones que haga quienes desarrollen la función de gestión de riesgos y la auditoría interna, las actividades tercerizadas.</w:t>
      </w:r>
    </w:p>
    <w:p w14:paraId="48034C45" w14:textId="759CBA0E" w:rsidR="00CB66D1" w:rsidRDefault="00CB66D1" w:rsidP="00766CA6">
      <w:pPr>
        <w:pStyle w:val="Prrafodelista"/>
        <w:ind w:left="360"/>
        <w:jc w:val="both"/>
        <w:rPr>
          <w:rFonts w:ascii="Verdana" w:hAnsi="Verdana"/>
          <w:sz w:val="20"/>
          <w:szCs w:val="20"/>
        </w:rPr>
      </w:pPr>
    </w:p>
    <w:p w14:paraId="0FCA76E3" w14:textId="7E9ADB6D" w:rsidR="00312FFF" w:rsidRPr="00E92EF6" w:rsidRDefault="00E92EF6" w:rsidP="00766CA6">
      <w:pPr>
        <w:pStyle w:val="Prrafodelista"/>
        <w:numPr>
          <w:ilvl w:val="0"/>
          <w:numId w:val="6"/>
        </w:numPr>
        <w:ind w:left="567" w:hanging="283"/>
        <w:jc w:val="both"/>
        <w:rPr>
          <w:rFonts w:ascii="Verdana" w:hAnsi="Verdana"/>
          <w:b/>
          <w:bCs/>
          <w:sz w:val="20"/>
          <w:szCs w:val="20"/>
        </w:rPr>
      </w:pPr>
      <w:r w:rsidRPr="00E92EF6">
        <w:rPr>
          <w:rFonts w:ascii="Verdana" w:hAnsi="Verdana"/>
          <w:b/>
          <w:bCs/>
          <w:sz w:val="20"/>
          <w:szCs w:val="20"/>
        </w:rPr>
        <w:t>Administración de la continuidad del negocio</w:t>
      </w:r>
    </w:p>
    <w:p w14:paraId="5BB95681" w14:textId="7B91067F" w:rsidR="00EF69EA" w:rsidRPr="00EF69EA" w:rsidRDefault="00EF69EA" w:rsidP="00766CA6">
      <w:pPr>
        <w:spacing w:after="0"/>
        <w:jc w:val="both"/>
        <w:rPr>
          <w:rFonts w:ascii="Verdana" w:hAnsi="Verdana"/>
          <w:sz w:val="20"/>
          <w:szCs w:val="20"/>
        </w:rPr>
      </w:pPr>
      <w:r w:rsidRPr="00EF69EA">
        <w:rPr>
          <w:rFonts w:ascii="Verdana" w:hAnsi="Verdana"/>
          <w:sz w:val="20"/>
          <w:szCs w:val="20"/>
        </w:rPr>
        <w:t>1.1.2.13</w:t>
      </w:r>
      <w:r w:rsidR="006D7901">
        <w:rPr>
          <w:rFonts w:ascii="Verdana" w:hAnsi="Verdana"/>
          <w:sz w:val="20"/>
          <w:szCs w:val="20"/>
        </w:rPr>
        <w:t>5</w:t>
      </w:r>
      <w:r w:rsidRPr="00EF69EA">
        <w:rPr>
          <w:rFonts w:ascii="Verdana" w:hAnsi="Verdana"/>
          <w:sz w:val="20"/>
          <w:szCs w:val="20"/>
        </w:rPr>
        <w:t>.</w:t>
      </w:r>
    </w:p>
    <w:p w14:paraId="20F1C0A2" w14:textId="62390F03" w:rsidR="00FB7F54" w:rsidRPr="00FB7F54" w:rsidRDefault="00FB7F54" w:rsidP="00766CA6">
      <w:pPr>
        <w:jc w:val="both"/>
        <w:rPr>
          <w:rFonts w:ascii="Verdana" w:hAnsi="Verdana"/>
          <w:sz w:val="20"/>
          <w:szCs w:val="20"/>
        </w:rPr>
      </w:pPr>
      <w:r w:rsidRPr="00FB7F54">
        <w:rPr>
          <w:rFonts w:ascii="Verdana" w:hAnsi="Verdana"/>
          <w:sz w:val="20"/>
          <w:szCs w:val="20"/>
        </w:rPr>
        <w:t xml:space="preserve">De acuerdo con su estructura, tamaño, objeto social y actividades de apoyo, la entidad debe definir, implementar, probar y mantener la gestión para la continuidad del negocio, </w:t>
      </w:r>
      <w:r w:rsidR="00496C77">
        <w:rPr>
          <w:rFonts w:ascii="Verdana" w:hAnsi="Verdana"/>
          <w:sz w:val="20"/>
          <w:szCs w:val="20"/>
        </w:rPr>
        <w:t>que</w:t>
      </w:r>
      <w:r w:rsidR="00A94CD1">
        <w:rPr>
          <w:rFonts w:ascii="Verdana" w:hAnsi="Verdana"/>
          <w:sz w:val="20"/>
          <w:szCs w:val="20"/>
        </w:rPr>
        <w:t xml:space="preserve"> </w:t>
      </w:r>
      <w:r w:rsidRPr="00FB7F54">
        <w:rPr>
          <w:rFonts w:ascii="Verdana" w:hAnsi="Verdana"/>
          <w:sz w:val="20"/>
          <w:szCs w:val="20"/>
        </w:rPr>
        <w:t>incluya elementos como: prevención y atención de emergencias, administración en escenarios de crisis, planes de contingencia y capacidad de retorno a la operación normal de la entidad.</w:t>
      </w:r>
    </w:p>
    <w:p w14:paraId="17AC82D3" w14:textId="7BDC86F8" w:rsidR="0050738D" w:rsidRPr="00EF69EA" w:rsidRDefault="0050738D" w:rsidP="00766CA6">
      <w:pPr>
        <w:spacing w:after="0"/>
        <w:jc w:val="both"/>
        <w:rPr>
          <w:rFonts w:ascii="Verdana" w:hAnsi="Verdana"/>
          <w:sz w:val="20"/>
          <w:szCs w:val="20"/>
        </w:rPr>
      </w:pPr>
      <w:r w:rsidRPr="00EF69EA">
        <w:rPr>
          <w:rFonts w:ascii="Verdana" w:hAnsi="Verdana"/>
          <w:sz w:val="20"/>
          <w:szCs w:val="20"/>
        </w:rPr>
        <w:t>1.1.2.13</w:t>
      </w:r>
      <w:r>
        <w:rPr>
          <w:rFonts w:ascii="Verdana" w:hAnsi="Verdana"/>
          <w:sz w:val="20"/>
          <w:szCs w:val="20"/>
        </w:rPr>
        <w:t>6</w:t>
      </w:r>
      <w:r w:rsidRPr="00EF69EA">
        <w:rPr>
          <w:rFonts w:ascii="Verdana" w:hAnsi="Verdana"/>
          <w:sz w:val="20"/>
          <w:szCs w:val="20"/>
        </w:rPr>
        <w:t>.</w:t>
      </w:r>
    </w:p>
    <w:p w14:paraId="1141AB81" w14:textId="3707FC5B" w:rsidR="00FB7F54" w:rsidRPr="00FB7F54" w:rsidRDefault="00FB7F54" w:rsidP="00766CA6">
      <w:pPr>
        <w:jc w:val="both"/>
        <w:rPr>
          <w:rFonts w:ascii="Verdana" w:hAnsi="Verdana"/>
          <w:sz w:val="20"/>
          <w:szCs w:val="20"/>
        </w:rPr>
      </w:pPr>
      <w:r w:rsidRPr="00FB7F54">
        <w:rPr>
          <w:rFonts w:ascii="Verdana" w:hAnsi="Verdana"/>
          <w:sz w:val="20"/>
          <w:szCs w:val="20"/>
        </w:rPr>
        <w:t>Los planes de continuidad del negocio deben cumplir, como mínimo, con los siguientes requisitos:</w:t>
      </w:r>
    </w:p>
    <w:p w14:paraId="7C2A937F" w14:textId="77777777" w:rsidR="00224EEE" w:rsidRDefault="00FB7F54" w:rsidP="00766CA6">
      <w:pPr>
        <w:pStyle w:val="Prrafodelista"/>
        <w:numPr>
          <w:ilvl w:val="0"/>
          <w:numId w:val="55"/>
        </w:numPr>
        <w:ind w:left="567" w:hanging="567"/>
        <w:jc w:val="both"/>
        <w:rPr>
          <w:rFonts w:ascii="Verdana" w:hAnsi="Verdana"/>
          <w:sz w:val="20"/>
          <w:szCs w:val="20"/>
        </w:rPr>
      </w:pPr>
      <w:r w:rsidRPr="00224EEE">
        <w:rPr>
          <w:rFonts w:ascii="Verdana" w:hAnsi="Verdana"/>
          <w:sz w:val="20"/>
          <w:szCs w:val="20"/>
        </w:rPr>
        <w:t>Haber superado las pruebas necesarias para confirmar su eficacia y eficiencia.</w:t>
      </w:r>
    </w:p>
    <w:p w14:paraId="51795BFD" w14:textId="77777777" w:rsidR="00224EEE" w:rsidRDefault="00224EEE" w:rsidP="00766CA6">
      <w:pPr>
        <w:pStyle w:val="Prrafodelista"/>
        <w:ind w:left="567"/>
        <w:jc w:val="both"/>
        <w:rPr>
          <w:rFonts w:ascii="Verdana" w:hAnsi="Verdana"/>
          <w:sz w:val="20"/>
          <w:szCs w:val="20"/>
        </w:rPr>
      </w:pPr>
    </w:p>
    <w:p w14:paraId="1AC12682" w14:textId="77777777" w:rsidR="00224EEE" w:rsidRDefault="00FB7F54" w:rsidP="00766CA6">
      <w:pPr>
        <w:pStyle w:val="Prrafodelista"/>
        <w:numPr>
          <w:ilvl w:val="0"/>
          <w:numId w:val="55"/>
        </w:numPr>
        <w:ind w:left="567" w:hanging="567"/>
        <w:jc w:val="both"/>
        <w:rPr>
          <w:rFonts w:ascii="Verdana" w:hAnsi="Verdana"/>
          <w:sz w:val="20"/>
          <w:szCs w:val="20"/>
        </w:rPr>
      </w:pPr>
      <w:r w:rsidRPr="00224EEE">
        <w:rPr>
          <w:rFonts w:ascii="Verdana" w:hAnsi="Verdana"/>
          <w:sz w:val="20"/>
          <w:szCs w:val="20"/>
        </w:rPr>
        <w:t>Ser conocidos por todos los interesados.</w:t>
      </w:r>
    </w:p>
    <w:p w14:paraId="7EEF0B03" w14:textId="77777777" w:rsidR="00224EEE" w:rsidRPr="00224EEE" w:rsidRDefault="00224EEE" w:rsidP="00766CA6">
      <w:pPr>
        <w:pStyle w:val="Prrafodelista"/>
        <w:jc w:val="both"/>
        <w:rPr>
          <w:rFonts w:ascii="Verdana" w:hAnsi="Verdana"/>
          <w:sz w:val="20"/>
          <w:szCs w:val="20"/>
        </w:rPr>
      </w:pPr>
    </w:p>
    <w:p w14:paraId="74BE36CD" w14:textId="77777777" w:rsidR="00224EEE" w:rsidRDefault="00FB7F54" w:rsidP="00766CA6">
      <w:pPr>
        <w:pStyle w:val="Prrafodelista"/>
        <w:numPr>
          <w:ilvl w:val="0"/>
          <w:numId w:val="55"/>
        </w:numPr>
        <w:ind w:left="567" w:hanging="567"/>
        <w:jc w:val="both"/>
        <w:rPr>
          <w:rFonts w:ascii="Verdana" w:hAnsi="Verdana"/>
          <w:sz w:val="20"/>
          <w:szCs w:val="20"/>
        </w:rPr>
      </w:pPr>
      <w:r w:rsidRPr="00224EEE">
        <w:rPr>
          <w:rFonts w:ascii="Verdana" w:hAnsi="Verdana"/>
          <w:sz w:val="20"/>
          <w:szCs w:val="20"/>
        </w:rPr>
        <w:t>Cubrir por lo menos los siguientes aspectos: identificación de los riesgos que pueden afectar la operación, actividades a realizar cuando se presentan fallas, alternativas de operación y regreso a la actividad normal.</w:t>
      </w:r>
    </w:p>
    <w:p w14:paraId="404940A5" w14:textId="77777777" w:rsidR="00224EEE" w:rsidRPr="00224EEE" w:rsidRDefault="00224EEE" w:rsidP="00766CA6">
      <w:pPr>
        <w:pStyle w:val="Prrafodelista"/>
        <w:jc w:val="both"/>
        <w:rPr>
          <w:rFonts w:ascii="Verdana" w:hAnsi="Verdana"/>
          <w:sz w:val="20"/>
          <w:szCs w:val="20"/>
        </w:rPr>
      </w:pPr>
    </w:p>
    <w:p w14:paraId="72C61FAD" w14:textId="77777777" w:rsidR="00224EEE" w:rsidRDefault="00FB7F54" w:rsidP="00766CA6">
      <w:pPr>
        <w:pStyle w:val="Prrafodelista"/>
        <w:numPr>
          <w:ilvl w:val="0"/>
          <w:numId w:val="55"/>
        </w:numPr>
        <w:ind w:left="567" w:hanging="567"/>
        <w:jc w:val="both"/>
        <w:rPr>
          <w:rFonts w:ascii="Verdana" w:hAnsi="Verdana"/>
          <w:sz w:val="20"/>
          <w:szCs w:val="20"/>
        </w:rPr>
      </w:pPr>
      <w:r w:rsidRPr="00224EEE">
        <w:rPr>
          <w:rFonts w:ascii="Verdana" w:hAnsi="Verdana"/>
          <w:sz w:val="20"/>
          <w:szCs w:val="20"/>
        </w:rPr>
        <w:t xml:space="preserve">Considerar los controles, la capacidad de monitoreo de los canales, entre otros aspectos que se requieran cuando exista un aumento en el uso o prestación de servicios a través de los canales de atención, o en aquellos eventos en que la operación lo amerite. </w:t>
      </w:r>
    </w:p>
    <w:p w14:paraId="35BA3778" w14:textId="77777777" w:rsidR="00224EEE" w:rsidRPr="00224EEE" w:rsidRDefault="00224EEE" w:rsidP="00766CA6">
      <w:pPr>
        <w:pStyle w:val="Prrafodelista"/>
        <w:jc w:val="both"/>
        <w:rPr>
          <w:rFonts w:ascii="Verdana" w:hAnsi="Verdana"/>
          <w:sz w:val="20"/>
          <w:szCs w:val="20"/>
        </w:rPr>
      </w:pPr>
    </w:p>
    <w:p w14:paraId="19B4205B" w14:textId="77777777" w:rsidR="00224EEE" w:rsidRDefault="00FB7F54" w:rsidP="00766CA6">
      <w:pPr>
        <w:pStyle w:val="Prrafodelista"/>
        <w:numPr>
          <w:ilvl w:val="0"/>
          <w:numId w:val="55"/>
        </w:numPr>
        <w:ind w:left="567" w:hanging="567"/>
        <w:jc w:val="both"/>
        <w:rPr>
          <w:rFonts w:ascii="Verdana" w:hAnsi="Verdana"/>
          <w:sz w:val="20"/>
          <w:szCs w:val="20"/>
        </w:rPr>
      </w:pPr>
      <w:r w:rsidRPr="00224EEE">
        <w:rPr>
          <w:rFonts w:ascii="Verdana" w:hAnsi="Verdana"/>
          <w:sz w:val="20"/>
          <w:szCs w:val="20"/>
        </w:rPr>
        <w:t>Prever las medidas necesarias para garantizar que los funcionarios, colaboradores o terceros que desempeñen funciones críticas en la entidad vigilada puedan continuar laborando a través de trabajo remoto o en diferentes instalaciones, en eventos tales como: desastres naturales, pandemias, disturbios, entre otros.</w:t>
      </w:r>
    </w:p>
    <w:p w14:paraId="2E4A073F" w14:textId="77777777" w:rsidR="00224EEE" w:rsidRPr="00224EEE" w:rsidRDefault="00224EEE" w:rsidP="00766CA6">
      <w:pPr>
        <w:pStyle w:val="Prrafodelista"/>
        <w:jc w:val="both"/>
        <w:rPr>
          <w:rFonts w:ascii="Verdana" w:hAnsi="Verdana"/>
          <w:sz w:val="20"/>
          <w:szCs w:val="20"/>
        </w:rPr>
      </w:pPr>
    </w:p>
    <w:p w14:paraId="1B36DD08" w14:textId="77777777" w:rsidR="00224EEE" w:rsidRDefault="00FB7F54" w:rsidP="00766CA6">
      <w:pPr>
        <w:pStyle w:val="Prrafodelista"/>
        <w:numPr>
          <w:ilvl w:val="0"/>
          <w:numId w:val="55"/>
        </w:numPr>
        <w:ind w:left="567" w:hanging="567"/>
        <w:jc w:val="both"/>
        <w:rPr>
          <w:rFonts w:ascii="Verdana" w:hAnsi="Verdana"/>
          <w:sz w:val="20"/>
          <w:szCs w:val="20"/>
        </w:rPr>
      </w:pPr>
      <w:r w:rsidRPr="00224EEE">
        <w:rPr>
          <w:rFonts w:ascii="Verdana" w:hAnsi="Verdana"/>
          <w:sz w:val="20"/>
          <w:szCs w:val="20"/>
        </w:rPr>
        <w:t>Establecer los mecanismos y procedimientos para acatar los protocolos que expidan las autoridades gubernamentales para la prevención de riesgos derivados de eventos sanitarios, sociales, catastróficos, etc., tales como pandemias, desastres naturales, disturbios, entre otros, de tal forma que se garantice la continuidad de la operación y la prestación de los servicios a los consumidores financieros en condiciones de seguridad y calidad.</w:t>
      </w:r>
    </w:p>
    <w:p w14:paraId="22CA35FA" w14:textId="77777777" w:rsidR="00224EEE" w:rsidRPr="00224EEE" w:rsidRDefault="00224EEE" w:rsidP="00766CA6">
      <w:pPr>
        <w:pStyle w:val="Prrafodelista"/>
        <w:jc w:val="both"/>
        <w:rPr>
          <w:rFonts w:ascii="Verdana" w:hAnsi="Verdana"/>
          <w:sz w:val="20"/>
          <w:szCs w:val="20"/>
        </w:rPr>
      </w:pPr>
    </w:p>
    <w:p w14:paraId="29AD9EB4" w14:textId="596BE4D6" w:rsidR="00AE5574" w:rsidRPr="00224EEE" w:rsidRDefault="00FB7F54" w:rsidP="00766CA6">
      <w:pPr>
        <w:pStyle w:val="Prrafodelista"/>
        <w:numPr>
          <w:ilvl w:val="0"/>
          <w:numId w:val="55"/>
        </w:numPr>
        <w:ind w:left="567" w:hanging="567"/>
        <w:jc w:val="both"/>
        <w:rPr>
          <w:rFonts w:ascii="Verdana" w:hAnsi="Verdana"/>
          <w:sz w:val="20"/>
          <w:szCs w:val="20"/>
        </w:rPr>
      </w:pPr>
      <w:r w:rsidRPr="00224EEE">
        <w:rPr>
          <w:rFonts w:ascii="Verdana" w:hAnsi="Verdana"/>
          <w:sz w:val="20"/>
          <w:szCs w:val="20"/>
        </w:rPr>
        <w:t>Definir los eventos en los cuales se debe conformar un comité de atención de emergencias, el cual debe sesionar durante el periodo de contingencia. Dicho comité debe informar a la JD sobre la evolución de la situación y la efectividad en la aplicación de los planes de acción dispuestos para atenderla.</w:t>
      </w:r>
    </w:p>
    <w:p w14:paraId="32842AF6" w14:textId="77777777" w:rsidR="009D192D" w:rsidRPr="00234797" w:rsidRDefault="009D192D" w:rsidP="00766CA6">
      <w:pPr>
        <w:pStyle w:val="Prrafodelista"/>
        <w:jc w:val="both"/>
        <w:rPr>
          <w:rFonts w:ascii="Verdana" w:hAnsi="Verdana"/>
          <w:sz w:val="20"/>
          <w:szCs w:val="20"/>
        </w:rPr>
      </w:pPr>
    </w:p>
    <w:p w14:paraId="1370FFE1" w14:textId="0A75C797" w:rsidR="009D192D" w:rsidRPr="00732E97" w:rsidRDefault="00FD5113" w:rsidP="00766CA6">
      <w:pPr>
        <w:pStyle w:val="Prrafodelista"/>
        <w:numPr>
          <w:ilvl w:val="0"/>
          <w:numId w:val="2"/>
        </w:numPr>
        <w:ind w:left="284" w:hanging="284"/>
        <w:jc w:val="both"/>
        <w:rPr>
          <w:rFonts w:ascii="Verdana" w:hAnsi="Verdana"/>
          <w:b/>
          <w:bCs/>
          <w:sz w:val="20"/>
          <w:szCs w:val="20"/>
        </w:rPr>
      </w:pPr>
      <w:r w:rsidRPr="00FD5113">
        <w:rPr>
          <w:rFonts w:ascii="Verdana" w:hAnsi="Verdana"/>
          <w:b/>
          <w:bCs/>
          <w:sz w:val="20"/>
          <w:szCs w:val="20"/>
        </w:rPr>
        <w:t>Monitoreo</w:t>
      </w:r>
    </w:p>
    <w:p w14:paraId="7115236B" w14:textId="5B4C54B6" w:rsidR="009D192D" w:rsidRPr="0086035E" w:rsidRDefault="009D192D"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13</w:t>
      </w:r>
      <w:r w:rsidR="00FD5113">
        <w:rPr>
          <w:rFonts w:ascii="Verdana" w:hAnsi="Verdana"/>
          <w:sz w:val="20"/>
          <w:szCs w:val="20"/>
        </w:rPr>
        <w:t>7</w:t>
      </w:r>
      <w:r w:rsidRPr="0086035E">
        <w:rPr>
          <w:rFonts w:ascii="Verdana" w:hAnsi="Verdana"/>
          <w:sz w:val="20"/>
          <w:szCs w:val="20"/>
        </w:rPr>
        <w:t>.</w:t>
      </w:r>
    </w:p>
    <w:p w14:paraId="6F761EBB" w14:textId="77777777" w:rsidR="00F1495B" w:rsidRPr="00F1495B" w:rsidRDefault="00F1495B" w:rsidP="00766CA6">
      <w:pPr>
        <w:jc w:val="both"/>
        <w:rPr>
          <w:rFonts w:ascii="Verdana" w:hAnsi="Verdana"/>
          <w:sz w:val="20"/>
          <w:szCs w:val="20"/>
        </w:rPr>
      </w:pPr>
      <w:r w:rsidRPr="00F1495B">
        <w:rPr>
          <w:rFonts w:ascii="Verdana" w:hAnsi="Verdana"/>
          <w:sz w:val="20"/>
          <w:szCs w:val="20"/>
        </w:rPr>
        <w:t>La entidad debe hacer un monitoreo continuo a la gestión de los riesgos y a su perfil de riesgo. Para el efecto debe cumplir, como mínimo, con los siguientes requisitos:</w:t>
      </w:r>
    </w:p>
    <w:p w14:paraId="54009CDF" w14:textId="77777777" w:rsidR="003B71B8" w:rsidRDefault="00F1495B" w:rsidP="00766CA6">
      <w:pPr>
        <w:pStyle w:val="Prrafodelista"/>
        <w:numPr>
          <w:ilvl w:val="0"/>
          <w:numId w:val="56"/>
        </w:numPr>
        <w:ind w:left="567" w:hanging="567"/>
        <w:jc w:val="both"/>
        <w:rPr>
          <w:rFonts w:ascii="Verdana" w:hAnsi="Verdana"/>
          <w:sz w:val="20"/>
          <w:szCs w:val="20"/>
        </w:rPr>
      </w:pPr>
      <w:r w:rsidRPr="00AA1F23">
        <w:rPr>
          <w:rFonts w:ascii="Verdana" w:hAnsi="Verdana"/>
          <w:sz w:val="20"/>
          <w:szCs w:val="20"/>
        </w:rPr>
        <w:lastRenderedPageBreak/>
        <w:t>Desarrollar un proceso de seguimiento efectivo, que facilite la rápida detección y corrección de las deficiencias en la gestión de riesgo operacional. Dicho seguimiento debe tener una periodicidad acorde con los riesgos operacionales potenciales y ocurridos, así como con la frecuencia y naturaleza de los cambios</w:t>
      </w:r>
      <w:r w:rsidR="003B71B8">
        <w:rPr>
          <w:rFonts w:ascii="Verdana" w:hAnsi="Verdana"/>
          <w:sz w:val="20"/>
          <w:szCs w:val="20"/>
        </w:rPr>
        <w:t xml:space="preserve"> </w:t>
      </w:r>
      <w:r w:rsidR="003B71B8" w:rsidRPr="003B71B8">
        <w:rPr>
          <w:rFonts w:ascii="Verdana" w:hAnsi="Verdana"/>
          <w:sz w:val="20"/>
          <w:szCs w:val="20"/>
        </w:rPr>
        <w:t>en el entorno operacional. En cualquier caso, el seguimiento debe realizarse con una periodicidad mínima semestral.</w:t>
      </w:r>
    </w:p>
    <w:p w14:paraId="25336770" w14:textId="77777777" w:rsidR="003B71B8" w:rsidRDefault="003B71B8" w:rsidP="00766CA6">
      <w:pPr>
        <w:pStyle w:val="Prrafodelista"/>
        <w:ind w:left="567"/>
        <w:jc w:val="both"/>
        <w:rPr>
          <w:rFonts w:ascii="Verdana" w:hAnsi="Verdana"/>
          <w:sz w:val="20"/>
          <w:szCs w:val="20"/>
        </w:rPr>
      </w:pPr>
    </w:p>
    <w:p w14:paraId="25C68B58" w14:textId="77777777" w:rsidR="003B71B8" w:rsidRDefault="003B71B8" w:rsidP="00766CA6">
      <w:pPr>
        <w:pStyle w:val="Prrafodelista"/>
        <w:numPr>
          <w:ilvl w:val="0"/>
          <w:numId w:val="56"/>
        </w:numPr>
        <w:ind w:left="567" w:hanging="567"/>
        <w:jc w:val="both"/>
        <w:rPr>
          <w:rFonts w:ascii="Verdana" w:hAnsi="Verdana"/>
          <w:sz w:val="20"/>
          <w:szCs w:val="20"/>
        </w:rPr>
      </w:pPr>
      <w:r w:rsidRPr="003B71B8">
        <w:rPr>
          <w:rFonts w:ascii="Verdana" w:hAnsi="Verdana"/>
          <w:sz w:val="20"/>
          <w:szCs w:val="20"/>
        </w:rPr>
        <w:t>Establecer indicadores descriptivos y/o prospectivos que evidencien los potenciales riesgos operacionales.</w:t>
      </w:r>
    </w:p>
    <w:p w14:paraId="4CDC6897" w14:textId="77777777" w:rsidR="003B71B8" w:rsidRPr="003B71B8" w:rsidRDefault="003B71B8" w:rsidP="00766CA6">
      <w:pPr>
        <w:pStyle w:val="Prrafodelista"/>
        <w:jc w:val="both"/>
        <w:rPr>
          <w:rFonts w:ascii="Verdana" w:hAnsi="Verdana"/>
          <w:sz w:val="20"/>
          <w:szCs w:val="20"/>
        </w:rPr>
      </w:pPr>
    </w:p>
    <w:p w14:paraId="2A42A306" w14:textId="4FBD21CD" w:rsidR="00F7424D" w:rsidRPr="003B71B8" w:rsidRDefault="003B71B8" w:rsidP="00766CA6">
      <w:pPr>
        <w:pStyle w:val="Prrafodelista"/>
        <w:numPr>
          <w:ilvl w:val="0"/>
          <w:numId w:val="56"/>
        </w:numPr>
        <w:ind w:left="567" w:hanging="567"/>
        <w:jc w:val="both"/>
        <w:rPr>
          <w:rFonts w:ascii="Verdana" w:hAnsi="Verdana"/>
          <w:sz w:val="20"/>
          <w:szCs w:val="20"/>
        </w:rPr>
      </w:pPr>
      <w:proofErr w:type="gramStart"/>
      <w:r w:rsidRPr="003B71B8">
        <w:rPr>
          <w:rFonts w:ascii="Verdana" w:hAnsi="Verdana"/>
          <w:sz w:val="20"/>
          <w:szCs w:val="20"/>
        </w:rPr>
        <w:t>Asegurar</w:t>
      </w:r>
      <w:proofErr w:type="gramEnd"/>
      <w:r w:rsidRPr="003B71B8">
        <w:rPr>
          <w:rFonts w:ascii="Verdana" w:hAnsi="Verdana"/>
          <w:sz w:val="20"/>
          <w:szCs w:val="20"/>
        </w:rPr>
        <w:t xml:space="preserve"> que los controles estén funcionando en forma oportuna, efectiva y eficiente.</w:t>
      </w:r>
    </w:p>
    <w:p w14:paraId="7B6F05A9" w14:textId="08F3F3B4" w:rsidR="00F272C6" w:rsidRPr="00F272C6" w:rsidRDefault="00F272C6" w:rsidP="00766CA6">
      <w:pPr>
        <w:jc w:val="both"/>
        <w:rPr>
          <w:rFonts w:ascii="Verdana" w:hAnsi="Verdana"/>
          <w:b/>
          <w:bCs/>
          <w:sz w:val="20"/>
          <w:szCs w:val="20"/>
        </w:rPr>
      </w:pPr>
      <w:r w:rsidRPr="00F272C6">
        <w:rPr>
          <w:rFonts w:ascii="Verdana" w:hAnsi="Verdana"/>
          <w:b/>
          <w:bCs/>
          <w:sz w:val="20"/>
          <w:szCs w:val="20"/>
        </w:rPr>
        <w:t>Capacitación</w:t>
      </w:r>
    </w:p>
    <w:p w14:paraId="09F6A80F" w14:textId="734D9E3D" w:rsidR="00F272C6" w:rsidRPr="00EF69EA" w:rsidRDefault="00F272C6" w:rsidP="00766CA6">
      <w:pPr>
        <w:spacing w:after="0"/>
        <w:jc w:val="both"/>
        <w:rPr>
          <w:rFonts w:ascii="Verdana" w:hAnsi="Verdana"/>
          <w:sz w:val="20"/>
          <w:szCs w:val="20"/>
        </w:rPr>
      </w:pPr>
      <w:r w:rsidRPr="00EF69EA">
        <w:rPr>
          <w:rFonts w:ascii="Verdana" w:hAnsi="Verdana"/>
          <w:sz w:val="20"/>
          <w:szCs w:val="20"/>
        </w:rPr>
        <w:t>1.1.2.13</w:t>
      </w:r>
      <w:r w:rsidR="00D65CB5">
        <w:rPr>
          <w:rFonts w:ascii="Verdana" w:hAnsi="Verdana"/>
          <w:sz w:val="20"/>
          <w:szCs w:val="20"/>
        </w:rPr>
        <w:t>8</w:t>
      </w:r>
      <w:r w:rsidRPr="00EF69EA">
        <w:rPr>
          <w:rFonts w:ascii="Verdana" w:hAnsi="Verdana"/>
          <w:sz w:val="20"/>
          <w:szCs w:val="20"/>
        </w:rPr>
        <w:t>.</w:t>
      </w:r>
    </w:p>
    <w:p w14:paraId="62AE021B" w14:textId="5EC4DF9A" w:rsidR="00F272C6" w:rsidRPr="00F272C6" w:rsidRDefault="0011326F" w:rsidP="00766CA6">
      <w:pPr>
        <w:jc w:val="both"/>
        <w:rPr>
          <w:rFonts w:ascii="Verdana" w:hAnsi="Verdana"/>
          <w:sz w:val="20"/>
          <w:szCs w:val="20"/>
        </w:rPr>
      </w:pPr>
      <w:r w:rsidRPr="0011326F">
        <w:rPr>
          <w:rFonts w:ascii="Verdana" w:hAnsi="Verdana"/>
          <w:sz w:val="20"/>
          <w:szCs w:val="20"/>
        </w:rPr>
        <w:t>Las entidades deben diseñar, programar y coordinar planes de capacitación sobre la gestión del riesgo opera</w:t>
      </w:r>
      <w:r w:rsidR="002F5FB1">
        <w:rPr>
          <w:rFonts w:ascii="Verdana" w:hAnsi="Verdana"/>
          <w:sz w:val="20"/>
          <w:szCs w:val="20"/>
        </w:rPr>
        <w:t>cional</w:t>
      </w:r>
      <w:r w:rsidRPr="0011326F">
        <w:rPr>
          <w:rFonts w:ascii="Verdana" w:hAnsi="Verdana"/>
          <w:sz w:val="20"/>
          <w:szCs w:val="20"/>
        </w:rPr>
        <w:t xml:space="preserve"> dirigidos a todas las áreas y funcionarios.</w:t>
      </w:r>
      <w:r w:rsidR="007378E9">
        <w:rPr>
          <w:rFonts w:ascii="Verdana" w:hAnsi="Verdana"/>
          <w:sz w:val="20"/>
          <w:szCs w:val="20"/>
        </w:rPr>
        <w:t xml:space="preserve"> </w:t>
      </w:r>
      <w:r w:rsidR="00F272C6" w:rsidRPr="00F272C6">
        <w:rPr>
          <w:rFonts w:ascii="Verdana" w:hAnsi="Verdana"/>
          <w:sz w:val="20"/>
          <w:szCs w:val="20"/>
        </w:rPr>
        <w:t>Tales programas deben, cuando menos cumplir con las siguientes condiciones:</w:t>
      </w:r>
    </w:p>
    <w:p w14:paraId="31FEE48F" w14:textId="77777777" w:rsidR="007378E9" w:rsidRDefault="00F272C6" w:rsidP="00766CA6">
      <w:pPr>
        <w:pStyle w:val="Prrafodelista"/>
        <w:numPr>
          <w:ilvl w:val="0"/>
          <w:numId w:val="57"/>
        </w:numPr>
        <w:ind w:left="567" w:hanging="567"/>
        <w:jc w:val="both"/>
        <w:rPr>
          <w:rFonts w:ascii="Verdana" w:hAnsi="Verdana"/>
          <w:sz w:val="20"/>
          <w:szCs w:val="20"/>
        </w:rPr>
      </w:pPr>
      <w:r w:rsidRPr="007378E9">
        <w:rPr>
          <w:rFonts w:ascii="Verdana" w:hAnsi="Verdana"/>
          <w:sz w:val="20"/>
          <w:szCs w:val="20"/>
        </w:rPr>
        <w:t>Periodicidad anual.</w:t>
      </w:r>
    </w:p>
    <w:p w14:paraId="16D7BA7E" w14:textId="77777777" w:rsidR="007378E9" w:rsidRDefault="007378E9" w:rsidP="00766CA6">
      <w:pPr>
        <w:pStyle w:val="Prrafodelista"/>
        <w:ind w:left="567"/>
        <w:jc w:val="both"/>
        <w:rPr>
          <w:rFonts w:ascii="Verdana" w:hAnsi="Verdana"/>
          <w:sz w:val="20"/>
          <w:szCs w:val="20"/>
        </w:rPr>
      </w:pPr>
    </w:p>
    <w:p w14:paraId="6BC73225" w14:textId="77777777" w:rsidR="007378E9" w:rsidRDefault="00F272C6" w:rsidP="00766CA6">
      <w:pPr>
        <w:pStyle w:val="Prrafodelista"/>
        <w:numPr>
          <w:ilvl w:val="0"/>
          <w:numId w:val="57"/>
        </w:numPr>
        <w:ind w:left="567" w:hanging="567"/>
        <w:jc w:val="both"/>
        <w:rPr>
          <w:rFonts w:ascii="Verdana" w:hAnsi="Verdana"/>
          <w:sz w:val="20"/>
          <w:szCs w:val="20"/>
        </w:rPr>
      </w:pPr>
      <w:r w:rsidRPr="007378E9">
        <w:rPr>
          <w:rFonts w:ascii="Verdana" w:hAnsi="Verdana"/>
          <w:sz w:val="20"/>
          <w:szCs w:val="20"/>
        </w:rPr>
        <w:t>Ser impartidos durante el proceso de inducción de los nuevos funcionarios.</w:t>
      </w:r>
    </w:p>
    <w:p w14:paraId="53DBB724" w14:textId="77777777" w:rsidR="007378E9" w:rsidRPr="007378E9" w:rsidRDefault="007378E9" w:rsidP="00766CA6">
      <w:pPr>
        <w:pStyle w:val="Prrafodelista"/>
        <w:jc w:val="both"/>
        <w:rPr>
          <w:rFonts w:ascii="Verdana" w:hAnsi="Verdana"/>
          <w:sz w:val="20"/>
          <w:szCs w:val="20"/>
        </w:rPr>
      </w:pPr>
    </w:p>
    <w:p w14:paraId="7059B0F7" w14:textId="77777777" w:rsidR="007378E9" w:rsidRDefault="00F272C6" w:rsidP="00766CA6">
      <w:pPr>
        <w:pStyle w:val="Prrafodelista"/>
        <w:numPr>
          <w:ilvl w:val="0"/>
          <w:numId w:val="57"/>
        </w:numPr>
        <w:ind w:left="567" w:hanging="567"/>
        <w:jc w:val="both"/>
        <w:rPr>
          <w:rFonts w:ascii="Verdana" w:hAnsi="Verdana"/>
          <w:sz w:val="20"/>
          <w:szCs w:val="20"/>
        </w:rPr>
      </w:pPr>
      <w:r w:rsidRPr="007378E9">
        <w:rPr>
          <w:rFonts w:ascii="Verdana" w:hAnsi="Verdana"/>
          <w:sz w:val="20"/>
          <w:szCs w:val="20"/>
        </w:rPr>
        <w:t>Ser impartidos a los terceros siempre que exista una relación contractual con éstos y desempeñen funciones de la entidad.</w:t>
      </w:r>
    </w:p>
    <w:p w14:paraId="3BE6F030" w14:textId="77777777" w:rsidR="007378E9" w:rsidRPr="007378E9" w:rsidRDefault="007378E9" w:rsidP="00766CA6">
      <w:pPr>
        <w:pStyle w:val="Prrafodelista"/>
        <w:jc w:val="both"/>
        <w:rPr>
          <w:rFonts w:ascii="Verdana" w:hAnsi="Verdana"/>
          <w:sz w:val="20"/>
          <w:szCs w:val="20"/>
        </w:rPr>
      </w:pPr>
    </w:p>
    <w:p w14:paraId="6D2F2D2F" w14:textId="77777777" w:rsidR="007378E9" w:rsidRDefault="00F272C6" w:rsidP="00766CA6">
      <w:pPr>
        <w:pStyle w:val="Prrafodelista"/>
        <w:numPr>
          <w:ilvl w:val="0"/>
          <w:numId w:val="57"/>
        </w:numPr>
        <w:ind w:left="567" w:hanging="567"/>
        <w:jc w:val="both"/>
        <w:rPr>
          <w:rFonts w:ascii="Verdana" w:hAnsi="Verdana"/>
          <w:sz w:val="20"/>
          <w:szCs w:val="20"/>
        </w:rPr>
      </w:pPr>
      <w:r w:rsidRPr="007378E9">
        <w:rPr>
          <w:rFonts w:ascii="Verdana" w:hAnsi="Verdana"/>
          <w:sz w:val="20"/>
          <w:szCs w:val="20"/>
        </w:rPr>
        <w:t>Ser constantemente revisados y actualizados.</w:t>
      </w:r>
    </w:p>
    <w:p w14:paraId="45E56819" w14:textId="77777777" w:rsidR="007378E9" w:rsidRPr="007378E9" w:rsidRDefault="007378E9" w:rsidP="00766CA6">
      <w:pPr>
        <w:pStyle w:val="Prrafodelista"/>
        <w:jc w:val="both"/>
        <w:rPr>
          <w:rFonts w:ascii="Verdana" w:hAnsi="Verdana"/>
          <w:sz w:val="20"/>
          <w:szCs w:val="20"/>
        </w:rPr>
      </w:pPr>
    </w:p>
    <w:p w14:paraId="72448564" w14:textId="533D2E89" w:rsidR="00F7424D" w:rsidRPr="007378E9" w:rsidRDefault="00F272C6" w:rsidP="00766CA6">
      <w:pPr>
        <w:pStyle w:val="Prrafodelista"/>
        <w:numPr>
          <w:ilvl w:val="0"/>
          <w:numId w:val="57"/>
        </w:numPr>
        <w:ind w:left="567" w:hanging="567"/>
        <w:jc w:val="both"/>
        <w:rPr>
          <w:rFonts w:ascii="Verdana" w:hAnsi="Verdana"/>
          <w:sz w:val="20"/>
          <w:szCs w:val="20"/>
        </w:rPr>
      </w:pPr>
      <w:r w:rsidRPr="007378E9">
        <w:rPr>
          <w:rFonts w:ascii="Verdana" w:hAnsi="Verdana"/>
          <w:sz w:val="20"/>
          <w:szCs w:val="20"/>
        </w:rPr>
        <w:t>Contar con los mecanismos de evaluación de los resultados obtenidos con el fin de determinar la eficacia de dichos programas y el alcance de los objetivos propuestos.</w:t>
      </w:r>
    </w:p>
    <w:p w14:paraId="5AEF269C" w14:textId="4123799D" w:rsidR="003C6712" w:rsidRDefault="003C6712" w:rsidP="00766CA6">
      <w:pPr>
        <w:jc w:val="both"/>
        <w:rPr>
          <w:rFonts w:ascii="Verdana" w:hAnsi="Verdana"/>
          <w:b/>
          <w:bCs/>
          <w:sz w:val="20"/>
          <w:szCs w:val="20"/>
        </w:rPr>
      </w:pPr>
      <w:r w:rsidRPr="00175DF5">
        <w:rPr>
          <w:rFonts w:ascii="Verdana" w:hAnsi="Verdana"/>
          <w:b/>
          <w:bCs/>
          <w:sz w:val="20"/>
          <w:szCs w:val="20"/>
        </w:rPr>
        <w:t>Reglas especiales en materia de órdenes de embargo</w:t>
      </w:r>
    </w:p>
    <w:p w14:paraId="3E2E8258" w14:textId="78D46F8E" w:rsidR="00175DF5" w:rsidRPr="00EF69EA" w:rsidRDefault="00175DF5" w:rsidP="00766CA6">
      <w:pPr>
        <w:spacing w:after="0"/>
        <w:jc w:val="both"/>
        <w:rPr>
          <w:rFonts w:ascii="Verdana" w:hAnsi="Verdana"/>
          <w:sz w:val="20"/>
          <w:szCs w:val="20"/>
        </w:rPr>
      </w:pPr>
      <w:r w:rsidRPr="00EF69EA">
        <w:rPr>
          <w:rFonts w:ascii="Verdana" w:hAnsi="Verdana"/>
          <w:sz w:val="20"/>
          <w:szCs w:val="20"/>
        </w:rPr>
        <w:t>1.1.2.13</w:t>
      </w:r>
      <w:r w:rsidR="00D65CB5">
        <w:rPr>
          <w:rFonts w:ascii="Verdana" w:hAnsi="Verdana"/>
          <w:sz w:val="20"/>
          <w:szCs w:val="20"/>
        </w:rPr>
        <w:t>9</w:t>
      </w:r>
      <w:r w:rsidRPr="00EF69EA">
        <w:rPr>
          <w:rFonts w:ascii="Verdana" w:hAnsi="Verdana"/>
          <w:sz w:val="20"/>
          <w:szCs w:val="20"/>
        </w:rPr>
        <w:t>.</w:t>
      </w:r>
    </w:p>
    <w:p w14:paraId="2B4A46A1" w14:textId="7B3888E5" w:rsidR="003C6712" w:rsidRPr="00D65CB5" w:rsidRDefault="003C6712" w:rsidP="00766CA6">
      <w:pPr>
        <w:jc w:val="both"/>
        <w:rPr>
          <w:rFonts w:ascii="Verdana" w:hAnsi="Verdana"/>
          <w:b/>
          <w:bCs/>
          <w:sz w:val="20"/>
          <w:szCs w:val="20"/>
        </w:rPr>
      </w:pPr>
      <w:r w:rsidRPr="003C6712">
        <w:rPr>
          <w:rFonts w:ascii="Verdana" w:hAnsi="Verdana"/>
          <w:sz w:val="20"/>
          <w:szCs w:val="20"/>
        </w:rPr>
        <w:t xml:space="preserve">En consideración </w:t>
      </w:r>
      <w:r w:rsidR="00CE3846">
        <w:rPr>
          <w:rFonts w:ascii="Verdana" w:hAnsi="Verdana"/>
          <w:sz w:val="20"/>
          <w:szCs w:val="20"/>
        </w:rPr>
        <w:t>del</w:t>
      </w:r>
      <w:r w:rsidR="00F202CD">
        <w:rPr>
          <w:rFonts w:ascii="Verdana" w:hAnsi="Verdana"/>
          <w:sz w:val="20"/>
          <w:szCs w:val="20"/>
        </w:rPr>
        <w:t xml:space="preserve"> riesgo legal </w:t>
      </w:r>
      <w:r w:rsidR="00CE3846">
        <w:rPr>
          <w:rFonts w:ascii="Verdana" w:hAnsi="Verdana"/>
          <w:sz w:val="20"/>
          <w:szCs w:val="20"/>
        </w:rPr>
        <w:t>que genera</w:t>
      </w:r>
      <w:r w:rsidRPr="003C6712">
        <w:rPr>
          <w:rFonts w:ascii="Verdana" w:hAnsi="Verdana"/>
          <w:sz w:val="20"/>
          <w:szCs w:val="20"/>
        </w:rPr>
        <w:t xml:space="preserve"> el incumplimiento del marco normativo en materia de órdenes de embargo provenientes de autoridades judiciales y administrativas, contenid</w:t>
      </w:r>
      <w:r w:rsidR="00CE3846">
        <w:rPr>
          <w:rFonts w:ascii="Verdana" w:hAnsi="Verdana"/>
          <w:sz w:val="20"/>
          <w:szCs w:val="20"/>
        </w:rPr>
        <w:t>o</w:t>
      </w:r>
      <w:r w:rsidRPr="003C6712">
        <w:rPr>
          <w:rFonts w:ascii="Verdana" w:hAnsi="Verdana"/>
          <w:sz w:val="20"/>
          <w:szCs w:val="20"/>
        </w:rPr>
        <w:t xml:space="preserve"> en los artículos 593 y 594 de la Ley 1564 de 2012, el numeral 5.1. del </w:t>
      </w:r>
      <w:r w:rsidR="00187BD8">
        <w:rPr>
          <w:rFonts w:ascii="Verdana" w:hAnsi="Verdana"/>
          <w:sz w:val="20"/>
          <w:szCs w:val="20"/>
        </w:rPr>
        <w:t>c</w:t>
      </w:r>
      <w:r w:rsidRPr="003C6712">
        <w:rPr>
          <w:rFonts w:ascii="Verdana" w:hAnsi="Verdana"/>
          <w:sz w:val="20"/>
          <w:szCs w:val="20"/>
        </w:rPr>
        <w:t>apítulo I</w:t>
      </w:r>
      <w:r w:rsidR="00187BD8">
        <w:rPr>
          <w:rFonts w:ascii="Verdana" w:hAnsi="Verdana"/>
          <w:sz w:val="20"/>
          <w:szCs w:val="20"/>
        </w:rPr>
        <w:t xml:space="preserve"> del</w:t>
      </w:r>
      <w:r w:rsidRPr="003C6712">
        <w:rPr>
          <w:rFonts w:ascii="Verdana" w:hAnsi="Verdana"/>
          <w:sz w:val="20"/>
          <w:szCs w:val="20"/>
        </w:rPr>
        <w:t xml:space="preserve"> </w:t>
      </w:r>
      <w:r w:rsidR="00187BD8">
        <w:rPr>
          <w:rFonts w:ascii="Verdana" w:hAnsi="Verdana"/>
          <w:sz w:val="20"/>
          <w:szCs w:val="20"/>
        </w:rPr>
        <w:t>t</w:t>
      </w:r>
      <w:r w:rsidRPr="003C6712">
        <w:rPr>
          <w:rFonts w:ascii="Verdana" w:hAnsi="Verdana"/>
          <w:sz w:val="20"/>
          <w:szCs w:val="20"/>
        </w:rPr>
        <w:t>ítulo IV</w:t>
      </w:r>
      <w:r w:rsidR="00187BD8">
        <w:rPr>
          <w:rFonts w:ascii="Verdana" w:hAnsi="Verdana"/>
          <w:sz w:val="20"/>
          <w:szCs w:val="20"/>
        </w:rPr>
        <w:t xml:space="preserve"> de la</w:t>
      </w:r>
      <w:r w:rsidRPr="003C6712">
        <w:rPr>
          <w:rFonts w:ascii="Verdana" w:hAnsi="Verdana"/>
          <w:sz w:val="20"/>
          <w:szCs w:val="20"/>
        </w:rPr>
        <w:t xml:space="preserve"> </w:t>
      </w:r>
      <w:r w:rsidR="00187BD8">
        <w:rPr>
          <w:rFonts w:ascii="Verdana" w:hAnsi="Verdana"/>
          <w:sz w:val="20"/>
          <w:szCs w:val="20"/>
        </w:rPr>
        <w:t>p</w:t>
      </w:r>
      <w:r w:rsidRPr="003C6712">
        <w:rPr>
          <w:rFonts w:ascii="Verdana" w:hAnsi="Verdana"/>
          <w:sz w:val="20"/>
          <w:szCs w:val="20"/>
        </w:rPr>
        <w:t>arte I de la CBJ, el Estatuto Tributario y demás normas concordantes, las entidades deben contar con mecanismos que permitan</w:t>
      </w:r>
      <w:r w:rsidR="00F202CD">
        <w:rPr>
          <w:rFonts w:ascii="Verdana" w:hAnsi="Verdana"/>
          <w:sz w:val="20"/>
          <w:szCs w:val="20"/>
        </w:rPr>
        <w:t>,</w:t>
      </w:r>
      <w:r w:rsidRPr="003C6712">
        <w:rPr>
          <w:rFonts w:ascii="Verdana" w:hAnsi="Verdana"/>
          <w:sz w:val="20"/>
          <w:szCs w:val="20"/>
        </w:rPr>
        <w:t xml:space="preserve"> como mínimo:</w:t>
      </w:r>
    </w:p>
    <w:p w14:paraId="1E7A266F" w14:textId="08FAE3AE" w:rsidR="00247AE8" w:rsidRDefault="00CE3846" w:rsidP="00766CA6">
      <w:pPr>
        <w:pStyle w:val="Prrafodelista"/>
        <w:numPr>
          <w:ilvl w:val="0"/>
          <w:numId w:val="58"/>
        </w:numPr>
        <w:ind w:left="567" w:hanging="567"/>
        <w:jc w:val="both"/>
        <w:rPr>
          <w:rFonts w:ascii="Verdana" w:hAnsi="Verdana"/>
          <w:sz w:val="20"/>
          <w:szCs w:val="20"/>
        </w:rPr>
      </w:pPr>
      <w:r>
        <w:rPr>
          <w:rFonts w:ascii="Verdana" w:hAnsi="Verdana"/>
          <w:sz w:val="20"/>
          <w:szCs w:val="20"/>
        </w:rPr>
        <w:t>Adoptar</w:t>
      </w:r>
      <w:r w:rsidR="003C6712" w:rsidRPr="00247AE8">
        <w:rPr>
          <w:rFonts w:ascii="Verdana" w:hAnsi="Verdana"/>
          <w:sz w:val="20"/>
          <w:szCs w:val="20"/>
        </w:rPr>
        <w:t xml:space="preserve"> las medidas, controles y sistemas de información necesarios para que sus funcionarios reciban, procesen, acaten, atiendan y den respuesta a los mandatos judiciales y administrativos de forma completa, oportuna y conforme al procedimiento establecido en la ley. En este sentido</w:t>
      </w:r>
      <w:r w:rsidR="006D1E40">
        <w:rPr>
          <w:rFonts w:ascii="Verdana" w:hAnsi="Verdana"/>
          <w:sz w:val="20"/>
          <w:szCs w:val="20"/>
        </w:rPr>
        <w:t>,</w:t>
      </w:r>
      <w:r w:rsidR="003C6712" w:rsidRPr="00247AE8">
        <w:rPr>
          <w:rFonts w:ascii="Verdana" w:hAnsi="Verdana"/>
          <w:sz w:val="20"/>
          <w:szCs w:val="20"/>
        </w:rPr>
        <w:t xml:space="preserve"> las entidades deben conservar los archivos y documentos relacionados con estas órdenes y su gestión, conforme al artículo 96 del EOSF, para lo cual pueden utilizar el medio idóneo conforme a la ley, velando por la adecuada disponibilidad de la información.</w:t>
      </w:r>
    </w:p>
    <w:p w14:paraId="47194D9E" w14:textId="77777777" w:rsidR="00247AE8" w:rsidRDefault="00247AE8" w:rsidP="00766CA6">
      <w:pPr>
        <w:pStyle w:val="Prrafodelista"/>
        <w:ind w:left="567"/>
        <w:jc w:val="both"/>
        <w:rPr>
          <w:rFonts w:ascii="Verdana" w:hAnsi="Verdana"/>
          <w:sz w:val="20"/>
          <w:szCs w:val="20"/>
        </w:rPr>
      </w:pPr>
    </w:p>
    <w:p w14:paraId="2C3684A6" w14:textId="2ED3D981" w:rsidR="00247AE8" w:rsidRDefault="003C6712" w:rsidP="00766CA6">
      <w:pPr>
        <w:pStyle w:val="Prrafodelista"/>
        <w:numPr>
          <w:ilvl w:val="0"/>
          <w:numId w:val="58"/>
        </w:numPr>
        <w:ind w:left="567" w:hanging="567"/>
        <w:jc w:val="both"/>
        <w:rPr>
          <w:rFonts w:ascii="Verdana" w:hAnsi="Verdana"/>
          <w:sz w:val="20"/>
          <w:szCs w:val="20"/>
        </w:rPr>
      </w:pPr>
      <w:r w:rsidRPr="00247AE8">
        <w:rPr>
          <w:rFonts w:ascii="Verdana" w:hAnsi="Verdana"/>
          <w:sz w:val="20"/>
          <w:szCs w:val="20"/>
        </w:rPr>
        <w:t xml:space="preserve">Identificar la condición de inembargabilidad de los recursos al momento de la celebración de cualquier contrato de depósito, en los términos del </w:t>
      </w:r>
      <w:r w:rsidR="00E141E0">
        <w:rPr>
          <w:rFonts w:ascii="Verdana" w:hAnsi="Verdana"/>
          <w:sz w:val="20"/>
          <w:szCs w:val="20"/>
        </w:rPr>
        <w:t xml:space="preserve">numeral </w:t>
      </w:r>
      <w:r w:rsidR="00E141E0" w:rsidRPr="003C6712">
        <w:rPr>
          <w:rFonts w:ascii="Verdana" w:hAnsi="Verdana"/>
          <w:sz w:val="20"/>
          <w:szCs w:val="20"/>
        </w:rPr>
        <w:t xml:space="preserve">5.1. del </w:t>
      </w:r>
      <w:r w:rsidR="00E141E0">
        <w:rPr>
          <w:rFonts w:ascii="Verdana" w:hAnsi="Verdana"/>
          <w:sz w:val="20"/>
          <w:szCs w:val="20"/>
        </w:rPr>
        <w:t>c</w:t>
      </w:r>
      <w:r w:rsidR="00E141E0" w:rsidRPr="003C6712">
        <w:rPr>
          <w:rFonts w:ascii="Verdana" w:hAnsi="Verdana"/>
          <w:sz w:val="20"/>
          <w:szCs w:val="20"/>
        </w:rPr>
        <w:t>apítulo I</w:t>
      </w:r>
      <w:r w:rsidR="00E141E0">
        <w:rPr>
          <w:rFonts w:ascii="Verdana" w:hAnsi="Verdana"/>
          <w:sz w:val="20"/>
          <w:szCs w:val="20"/>
        </w:rPr>
        <w:t xml:space="preserve"> del</w:t>
      </w:r>
      <w:r w:rsidR="00E141E0" w:rsidRPr="003C6712">
        <w:rPr>
          <w:rFonts w:ascii="Verdana" w:hAnsi="Verdana"/>
          <w:sz w:val="20"/>
          <w:szCs w:val="20"/>
        </w:rPr>
        <w:t xml:space="preserve"> </w:t>
      </w:r>
      <w:r w:rsidR="00E141E0">
        <w:rPr>
          <w:rFonts w:ascii="Verdana" w:hAnsi="Verdana"/>
          <w:sz w:val="20"/>
          <w:szCs w:val="20"/>
        </w:rPr>
        <w:t>t</w:t>
      </w:r>
      <w:r w:rsidR="00E141E0" w:rsidRPr="003C6712">
        <w:rPr>
          <w:rFonts w:ascii="Verdana" w:hAnsi="Verdana"/>
          <w:sz w:val="20"/>
          <w:szCs w:val="20"/>
        </w:rPr>
        <w:t>ítulo IV</w:t>
      </w:r>
      <w:r w:rsidR="00E141E0">
        <w:rPr>
          <w:rFonts w:ascii="Verdana" w:hAnsi="Verdana"/>
          <w:sz w:val="20"/>
          <w:szCs w:val="20"/>
        </w:rPr>
        <w:t xml:space="preserve"> de la</w:t>
      </w:r>
      <w:r w:rsidR="00E141E0" w:rsidRPr="003C6712">
        <w:rPr>
          <w:rFonts w:ascii="Verdana" w:hAnsi="Verdana"/>
          <w:sz w:val="20"/>
          <w:szCs w:val="20"/>
        </w:rPr>
        <w:t xml:space="preserve"> </w:t>
      </w:r>
      <w:r w:rsidR="00E141E0">
        <w:rPr>
          <w:rFonts w:ascii="Verdana" w:hAnsi="Verdana"/>
          <w:sz w:val="20"/>
          <w:szCs w:val="20"/>
        </w:rPr>
        <w:t>p</w:t>
      </w:r>
      <w:r w:rsidR="00E141E0" w:rsidRPr="003C6712">
        <w:rPr>
          <w:rFonts w:ascii="Verdana" w:hAnsi="Verdana"/>
          <w:sz w:val="20"/>
          <w:szCs w:val="20"/>
        </w:rPr>
        <w:t>arte I de la CBJ</w:t>
      </w:r>
      <w:r w:rsidR="00E141E0" w:rsidRPr="00247AE8">
        <w:rPr>
          <w:rFonts w:ascii="Verdana" w:hAnsi="Verdana"/>
          <w:sz w:val="20"/>
          <w:szCs w:val="20"/>
        </w:rPr>
        <w:t xml:space="preserve"> </w:t>
      </w:r>
      <w:r w:rsidRPr="00247AE8">
        <w:rPr>
          <w:rFonts w:ascii="Verdana" w:hAnsi="Verdana"/>
          <w:sz w:val="20"/>
          <w:szCs w:val="20"/>
        </w:rPr>
        <w:t xml:space="preserve">o al momento de las actualizaciones periódicas de información, en los términos del subnumeral 4.2.2.2.1.6. del </w:t>
      </w:r>
      <w:r w:rsidR="005A6192">
        <w:rPr>
          <w:rFonts w:ascii="Verdana" w:hAnsi="Verdana"/>
          <w:sz w:val="20"/>
          <w:szCs w:val="20"/>
        </w:rPr>
        <w:t>c</w:t>
      </w:r>
      <w:r w:rsidRPr="00247AE8">
        <w:rPr>
          <w:rFonts w:ascii="Verdana" w:hAnsi="Verdana"/>
          <w:sz w:val="20"/>
          <w:szCs w:val="20"/>
        </w:rPr>
        <w:t>apítulo IV</w:t>
      </w:r>
      <w:r w:rsidR="005A6192">
        <w:rPr>
          <w:rFonts w:ascii="Verdana" w:hAnsi="Verdana"/>
          <w:sz w:val="20"/>
          <w:szCs w:val="20"/>
        </w:rPr>
        <w:t xml:space="preserve"> del</w:t>
      </w:r>
      <w:r w:rsidRPr="00247AE8">
        <w:rPr>
          <w:rFonts w:ascii="Verdana" w:hAnsi="Verdana"/>
          <w:sz w:val="20"/>
          <w:szCs w:val="20"/>
        </w:rPr>
        <w:t xml:space="preserve"> </w:t>
      </w:r>
      <w:r w:rsidR="005A6192">
        <w:rPr>
          <w:rFonts w:ascii="Verdana" w:hAnsi="Verdana"/>
          <w:sz w:val="20"/>
          <w:szCs w:val="20"/>
        </w:rPr>
        <w:t>t</w:t>
      </w:r>
      <w:r w:rsidRPr="00247AE8">
        <w:rPr>
          <w:rFonts w:ascii="Verdana" w:hAnsi="Verdana"/>
          <w:sz w:val="20"/>
          <w:szCs w:val="20"/>
        </w:rPr>
        <w:t>ítulo IV</w:t>
      </w:r>
      <w:r w:rsidR="005A6192">
        <w:rPr>
          <w:rFonts w:ascii="Verdana" w:hAnsi="Verdana"/>
          <w:sz w:val="20"/>
          <w:szCs w:val="20"/>
        </w:rPr>
        <w:t xml:space="preserve"> de la</w:t>
      </w:r>
      <w:r w:rsidRPr="00247AE8">
        <w:rPr>
          <w:rFonts w:ascii="Verdana" w:hAnsi="Verdana"/>
          <w:sz w:val="20"/>
          <w:szCs w:val="20"/>
        </w:rPr>
        <w:t xml:space="preserve"> </w:t>
      </w:r>
      <w:r w:rsidR="00D47015">
        <w:rPr>
          <w:rFonts w:ascii="Verdana" w:hAnsi="Verdana"/>
          <w:sz w:val="20"/>
          <w:szCs w:val="20"/>
        </w:rPr>
        <w:t>p</w:t>
      </w:r>
      <w:r w:rsidRPr="00247AE8">
        <w:rPr>
          <w:rFonts w:ascii="Verdana" w:hAnsi="Verdana"/>
          <w:sz w:val="20"/>
          <w:szCs w:val="20"/>
        </w:rPr>
        <w:t>arte I de la CBJ, en caso de que tal información no haya sido obtenida al momento de la vinculación.</w:t>
      </w:r>
    </w:p>
    <w:p w14:paraId="428B9E1C" w14:textId="77777777" w:rsidR="00247AE8" w:rsidRPr="00247AE8" w:rsidRDefault="00247AE8" w:rsidP="00766CA6">
      <w:pPr>
        <w:pStyle w:val="Prrafodelista"/>
        <w:jc w:val="both"/>
        <w:rPr>
          <w:rFonts w:ascii="Verdana" w:hAnsi="Verdana"/>
          <w:sz w:val="20"/>
          <w:szCs w:val="20"/>
        </w:rPr>
      </w:pPr>
    </w:p>
    <w:p w14:paraId="57C67BCA" w14:textId="77147B98" w:rsidR="00924E94" w:rsidRDefault="003C6712" w:rsidP="00766CA6">
      <w:pPr>
        <w:pStyle w:val="Prrafodelista"/>
        <w:numPr>
          <w:ilvl w:val="0"/>
          <w:numId w:val="58"/>
        </w:numPr>
        <w:ind w:left="567" w:hanging="567"/>
        <w:jc w:val="both"/>
        <w:rPr>
          <w:rFonts w:ascii="Verdana" w:hAnsi="Verdana"/>
          <w:sz w:val="20"/>
          <w:szCs w:val="20"/>
        </w:rPr>
      </w:pPr>
      <w:r w:rsidRPr="00247AE8">
        <w:rPr>
          <w:rFonts w:ascii="Verdana" w:hAnsi="Verdana"/>
          <w:sz w:val="20"/>
          <w:szCs w:val="20"/>
        </w:rPr>
        <w:t xml:space="preserve">Capacitar </w:t>
      </w:r>
      <w:r w:rsidR="00DA43D0">
        <w:rPr>
          <w:rFonts w:ascii="Verdana" w:hAnsi="Verdana"/>
          <w:sz w:val="20"/>
          <w:szCs w:val="20"/>
        </w:rPr>
        <w:t xml:space="preserve">de forma </w:t>
      </w:r>
      <w:r w:rsidR="009D5124" w:rsidRPr="00247AE8">
        <w:rPr>
          <w:rFonts w:ascii="Verdana" w:hAnsi="Verdana"/>
          <w:sz w:val="20"/>
          <w:szCs w:val="20"/>
        </w:rPr>
        <w:t>per</w:t>
      </w:r>
      <w:r w:rsidR="009D5124">
        <w:rPr>
          <w:rFonts w:ascii="Verdana" w:hAnsi="Verdana"/>
          <w:sz w:val="20"/>
          <w:szCs w:val="20"/>
        </w:rPr>
        <w:t>iódica</w:t>
      </w:r>
      <w:r w:rsidRPr="00247AE8">
        <w:rPr>
          <w:rFonts w:ascii="Verdana" w:hAnsi="Verdana"/>
          <w:sz w:val="20"/>
          <w:szCs w:val="20"/>
        </w:rPr>
        <w:t xml:space="preserve"> al recurso humano responsable de la atención de las órdenes de embargo, de tal manera que esté actualizado respecto de la normatividad y el procedimiento aplicable en cada caso en particular.</w:t>
      </w:r>
    </w:p>
    <w:p w14:paraId="7487DFC1" w14:textId="77777777" w:rsidR="00924E94" w:rsidRPr="00924E94" w:rsidRDefault="00924E94" w:rsidP="00766CA6">
      <w:pPr>
        <w:pStyle w:val="Prrafodelista"/>
        <w:jc w:val="both"/>
        <w:rPr>
          <w:rFonts w:ascii="Verdana" w:hAnsi="Verdana"/>
          <w:sz w:val="20"/>
          <w:szCs w:val="20"/>
        </w:rPr>
      </w:pPr>
    </w:p>
    <w:p w14:paraId="3540B746" w14:textId="77777777" w:rsidR="00924E94" w:rsidRDefault="003C6712" w:rsidP="00766CA6">
      <w:pPr>
        <w:pStyle w:val="Prrafodelista"/>
        <w:numPr>
          <w:ilvl w:val="0"/>
          <w:numId w:val="58"/>
        </w:numPr>
        <w:ind w:left="567" w:hanging="567"/>
        <w:jc w:val="both"/>
        <w:rPr>
          <w:rFonts w:ascii="Verdana" w:hAnsi="Verdana"/>
          <w:sz w:val="20"/>
          <w:szCs w:val="20"/>
        </w:rPr>
      </w:pPr>
      <w:r w:rsidRPr="00924E94">
        <w:rPr>
          <w:rFonts w:ascii="Verdana" w:hAnsi="Verdana"/>
          <w:sz w:val="20"/>
          <w:szCs w:val="20"/>
        </w:rPr>
        <w:t>Garantizar la observancia de los límites de inembargabilidad señalados en la normatividad aplicable, así como los límites de las medidas, sin exceder los montos de los embargos ordenados por las autoridades judiciales o administrativas.</w:t>
      </w:r>
    </w:p>
    <w:p w14:paraId="0EC3D1E6" w14:textId="77777777" w:rsidR="00924E94" w:rsidRPr="00924E94" w:rsidRDefault="00924E94" w:rsidP="00766CA6">
      <w:pPr>
        <w:pStyle w:val="Prrafodelista"/>
        <w:jc w:val="both"/>
        <w:rPr>
          <w:rFonts w:ascii="Verdana" w:hAnsi="Verdana"/>
          <w:sz w:val="20"/>
          <w:szCs w:val="20"/>
        </w:rPr>
      </w:pPr>
    </w:p>
    <w:p w14:paraId="059DCD11" w14:textId="77777777" w:rsidR="00924E94" w:rsidRDefault="003C6712" w:rsidP="00766CA6">
      <w:pPr>
        <w:pStyle w:val="Prrafodelista"/>
        <w:numPr>
          <w:ilvl w:val="0"/>
          <w:numId w:val="58"/>
        </w:numPr>
        <w:ind w:left="567" w:hanging="567"/>
        <w:jc w:val="both"/>
        <w:rPr>
          <w:rFonts w:ascii="Verdana" w:hAnsi="Verdana"/>
          <w:sz w:val="20"/>
          <w:szCs w:val="20"/>
        </w:rPr>
      </w:pPr>
      <w:r w:rsidRPr="00924E94">
        <w:rPr>
          <w:rFonts w:ascii="Verdana" w:hAnsi="Verdana"/>
          <w:sz w:val="20"/>
          <w:szCs w:val="20"/>
        </w:rPr>
        <w:lastRenderedPageBreak/>
        <w:t>Contar con los controles necesarios para verificar que se atiendan de forma completa y oportuna las solicitudes de los consumidores financieros, las autoridades y demás interesados, relacionadas con las órdenes de desembargo.</w:t>
      </w:r>
    </w:p>
    <w:p w14:paraId="11D0B31C" w14:textId="77777777" w:rsidR="00924E94" w:rsidRPr="00924E94" w:rsidRDefault="00924E94" w:rsidP="00766CA6">
      <w:pPr>
        <w:pStyle w:val="Prrafodelista"/>
        <w:jc w:val="both"/>
        <w:rPr>
          <w:rFonts w:ascii="Verdana" w:hAnsi="Verdana"/>
          <w:sz w:val="20"/>
          <w:szCs w:val="20"/>
        </w:rPr>
      </w:pPr>
    </w:p>
    <w:p w14:paraId="28185DC8" w14:textId="2D85EB3A" w:rsidR="003C6712" w:rsidRPr="00924E94" w:rsidRDefault="003C6712" w:rsidP="00766CA6">
      <w:pPr>
        <w:pStyle w:val="Prrafodelista"/>
        <w:numPr>
          <w:ilvl w:val="0"/>
          <w:numId w:val="58"/>
        </w:numPr>
        <w:ind w:left="567" w:hanging="567"/>
        <w:jc w:val="both"/>
        <w:rPr>
          <w:rFonts w:ascii="Verdana" w:hAnsi="Verdana"/>
          <w:sz w:val="20"/>
          <w:szCs w:val="20"/>
        </w:rPr>
      </w:pPr>
      <w:r w:rsidRPr="00924E94">
        <w:rPr>
          <w:rFonts w:ascii="Verdana" w:hAnsi="Verdana"/>
          <w:sz w:val="20"/>
          <w:szCs w:val="20"/>
        </w:rPr>
        <w:t>Contar con las medidas de seguimiento y control de estos mecanismos, con el fin de asegurar la oportunidad y calidad en la atención y cumplimiento de las órdenes de embargo.</w:t>
      </w:r>
    </w:p>
    <w:p w14:paraId="20671D8F" w14:textId="7D3BBE44" w:rsidR="00F7424D" w:rsidRDefault="00F7424D" w:rsidP="00766CA6">
      <w:pPr>
        <w:jc w:val="both"/>
        <w:rPr>
          <w:rFonts w:ascii="Verdana" w:hAnsi="Verdana"/>
          <w:sz w:val="20"/>
          <w:szCs w:val="20"/>
        </w:rPr>
      </w:pPr>
    </w:p>
    <w:p w14:paraId="712D8A93" w14:textId="77777777" w:rsidR="00DF3346" w:rsidRDefault="00DF3346" w:rsidP="00766CA6">
      <w:pPr>
        <w:spacing w:after="0"/>
        <w:jc w:val="both"/>
        <w:rPr>
          <w:rFonts w:ascii="Verdana" w:hAnsi="Verdana"/>
          <w:sz w:val="20"/>
          <w:szCs w:val="20"/>
        </w:rPr>
      </w:pPr>
    </w:p>
    <w:p w14:paraId="1AA4FB67" w14:textId="77777777" w:rsidR="00DF3346" w:rsidRDefault="00DF3346" w:rsidP="00766CA6">
      <w:pPr>
        <w:spacing w:after="0"/>
        <w:jc w:val="both"/>
        <w:rPr>
          <w:rFonts w:ascii="Verdana" w:hAnsi="Verdana"/>
          <w:sz w:val="20"/>
          <w:szCs w:val="20"/>
        </w:rPr>
      </w:pPr>
    </w:p>
    <w:p w14:paraId="23B25D2B" w14:textId="77777777" w:rsidR="00DF3346" w:rsidRDefault="00DF3346" w:rsidP="00766CA6">
      <w:pPr>
        <w:spacing w:after="0"/>
        <w:jc w:val="both"/>
        <w:rPr>
          <w:rFonts w:ascii="Verdana" w:hAnsi="Verdana"/>
          <w:sz w:val="20"/>
          <w:szCs w:val="20"/>
        </w:rPr>
      </w:pPr>
    </w:p>
    <w:p w14:paraId="66448C8E" w14:textId="77777777" w:rsidR="00DF3346" w:rsidRDefault="00DF3346" w:rsidP="00766CA6">
      <w:pPr>
        <w:spacing w:after="0"/>
        <w:jc w:val="both"/>
        <w:rPr>
          <w:rFonts w:ascii="Verdana" w:hAnsi="Verdana"/>
          <w:sz w:val="20"/>
          <w:szCs w:val="20"/>
        </w:rPr>
      </w:pPr>
    </w:p>
    <w:p w14:paraId="66516555" w14:textId="77777777" w:rsidR="00DF3346" w:rsidRDefault="00DF3346" w:rsidP="00766CA6">
      <w:pPr>
        <w:spacing w:after="0"/>
        <w:jc w:val="both"/>
        <w:rPr>
          <w:rFonts w:ascii="Verdana" w:hAnsi="Verdana"/>
          <w:sz w:val="20"/>
          <w:szCs w:val="20"/>
        </w:rPr>
      </w:pPr>
    </w:p>
    <w:p w14:paraId="0A1419CB" w14:textId="77777777" w:rsidR="00DF3346" w:rsidRDefault="00DF3346" w:rsidP="00766CA6">
      <w:pPr>
        <w:spacing w:after="0"/>
        <w:jc w:val="both"/>
        <w:rPr>
          <w:rFonts w:ascii="Verdana" w:hAnsi="Verdana"/>
          <w:sz w:val="20"/>
          <w:szCs w:val="20"/>
        </w:rPr>
      </w:pPr>
    </w:p>
    <w:p w14:paraId="47400442" w14:textId="77777777" w:rsidR="00DF3346" w:rsidRDefault="00DF3346" w:rsidP="00766CA6">
      <w:pPr>
        <w:spacing w:after="0"/>
        <w:jc w:val="both"/>
        <w:rPr>
          <w:rFonts w:ascii="Verdana" w:hAnsi="Verdana"/>
          <w:sz w:val="20"/>
          <w:szCs w:val="20"/>
        </w:rPr>
      </w:pPr>
    </w:p>
    <w:p w14:paraId="03EA62A2" w14:textId="77777777" w:rsidR="00DF3346" w:rsidRDefault="00DF3346" w:rsidP="00766CA6">
      <w:pPr>
        <w:spacing w:after="0"/>
        <w:jc w:val="both"/>
        <w:rPr>
          <w:rFonts w:ascii="Verdana" w:hAnsi="Verdana"/>
          <w:sz w:val="20"/>
          <w:szCs w:val="20"/>
        </w:rPr>
      </w:pPr>
    </w:p>
    <w:p w14:paraId="027E3B1F" w14:textId="77777777" w:rsidR="00DF3346" w:rsidRDefault="00DF3346" w:rsidP="00766CA6">
      <w:pPr>
        <w:spacing w:after="0"/>
        <w:jc w:val="both"/>
        <w:rPr>
          <w:rFonts w:ascii="Verdana" w:hAnsi="Verdana"/>
          <w:sz w:val="20"/>
          <w:szCs w:val="20"/>
        </w:rPr>
      </w:pPr>
    </w:p>
    <w:p w14:paraId="34C88F64" w14:textId="77777777" w:rsidR="00005FAB" w:rsidRDefault="00005FAB" w:rsidP="00766CA6">
      <w:pPr>
        <w:spacing w:after="0"/>
        <w:jc w:val="both"/>
        <w:rPr>
          <w:rFonts w:ascii="Verdana" w:hAnsi="Verdana"/>
          <w:sz w:val="20"/>
          <w:szCs w:val="20"/>
        </w:rPr>
      </w:pPr>
    </w:p>
    <w:p w14:paraId="4730A8A0" w14:textId="77777777" w:rsidR="00005FAB" w:rsidRDefault="00005FAB" w:rsidP="00766CA6">
      <w:pPr>
        <w:spacing w:after="0"/>
        <w:jc w:val="both"/>
        <w:rPr>
          <w:rFonts w:ascii="Verdana" w:hAnsi="Verdana"/>
          <w:sz w:val="20"/>
          <w:szCs w:val="20"/>
        </w:rPr>
      </w:pPr>
    </w:p>
    <w:p w14:paraId="173A6EC0" w14:textId="77777777" w:rsidR="00005FAB" w:rsidRDefault="00005FAB" w:rsidP="00766CA6">
      <w:pPr>
        <w:spacing w:after="0"/>
        <w:jc w:val="both"/>
        <w:rPr>
          <w:rFonts w:ascii="Verdana" w:hAnsi="Verdana"/>
          <w:sz w:val="20"/>
          <w:szCs w:val="20"/>
        </w:rPr>
      </w:pPr>
    </w:p>
    <w:p w14:paraId="168B6F35" w14:textId="77777777" w:rsidR="00005FAB" w:rsidRDefault="00005FAB" w:rsidP="00766CA6">
      <w:pPr>
        <w:spacing w:after="0"/>
        <w:jc w:val="both"/>
        <w:rPr>
          <w:rFonts w:ascii="Verdana" w:hAnsi="Verdana"/>
          <w:sz w:val="20"/>
          <w:szCs w:val="20"/>
        </w:rPr>
      </w:pPr>
    </w:p>
    <w:p w14:paraId="774B1428" w14:textId="77777777" w:rsidR="00005FAB" w:rsidRDefault="00005FAB" w:rsidP="00766CA6">
      <w:pPr>
        <w:spacing w:after="0"/>
        <w:jc w:val="both"/>
        <w:rPr>
          <w:rFonts w:ascii="Verdana" w:hAnsi="Verdana"/>
          <w:sz w:val="20"/>
          <w:szCs w:val="20"/>
        </w:rPr>
      </w:pPr>
    </w:p>
    <w:p w14:paraId="425827A3" w14:textId="77777777" w:rsidR="00005FAB" w:rsidRDefault="00005FAB" w:rsidP="00766CA6">
      <w:pPr>
        <w:spacing w:after="0"/>
        <w:jc w:val="both"/>
        <w:rPr>
          <w:rFonts w:ascii="Verdana" w:hAnsi="Verdana"/>
          <w:sz w:val="20"/>
          <w:szCs w:val="20"/>
        </w:rPr>
      </w:pPr>
    </w:p>
    <w:p w14:paraId="436D888B" w14:textId="77777777" w:rsidR="00005FAB" w:rsidRDefault="00005FAB" w:rsidP="00766CA6">
      <w:pPr>
        <w:spacing w:after="0"/>
        <w:jc w:val="both"/>
        <w:rPr>
          <w:rFonts w:ascii="Verdana" w:hAnsi="Verdana"/>
          <w:sz w:val="20"/>
          <w:szCs w:val="20"/>
        </w:rPr>
      </w:pPr>
    </w:p>
    <w:p w14:paraId="3F0176DA" w14:textId="77777777" w:rsidR="00005FAB" w:rsidRDefault="00005FAB" w:rsidP="00766CA6">
      <w:pPr>
        <w:spacing w:after="0"/>
        <w:jc w:val="both"/>
        <w:rPr>
          <w:rFonts w:ascii="Verdana" w:hAnsi="Verdana"/>
          <w:sz w:val="20"/>
          <w:szCs w:val="20"/>
        </w:rPr>
      </w:pPr>
    </w:p>
    <w:p w14:paraId="50BED748" w14:textId="77777777" w:rsidR="00005FAB" w:rsidRDefault="00005FAB" w:rsidP="00766CA6">
      <w:pPr>
        <w:spacing w:after="0"/>
        <w:jc w:val="both"/>
        <w:rPr>
          <w:rFonts w:ascii="Verdana" w:hAnsi="Verdana"/>
          <w:sz w:val="20"/>
          <w:szCs w:val="20"/>
        </w:rPr>
      </w:pPr>
    </w:p>
    <w:p w14:paraId="26E68152" w14:textId="77777777" w:rsidR="00005FAB" w:rsidRDefault="00005FAB" w:rsidP="00766CA6">
      <w:pPr>
        <w:spacing w:after="0"/>
        <w:jc w:val="both"/>
        <w:rPr>
          <w:rFonts w:ascii="Verdana" w:hAnsi="Verdana"/>
          <w:sz w:val="20"/>
          <w:szCs w:val="20"/>
        </w:rPr>
      </w:pPr>
    </w:p>
    <w:p w14:paraId="246C20C7" w14:textId="77777777" w:rsidR="00005FAB" w:rsidRDefault="00005FAB" w:rsidP="00766CA6">
      <w:pPr>
        <w:spacing w:after="0"/>
        <w:jc w:val="both"/>
        <w:rPr>
          <w:rFonts w:ascii="Verdana" w:hAnsi="Verdana"/>
          <w:sz w:val="20"/>
          <w:szCs w:val="20"/>
        </w:rPr>
      </w:pPr>
    </w:p>
    <w:p w14:paraId="169D7FB5" w14:textId="77777777" w:rsidR="00005FAB" w:rsidRDefault="00005FAB" w:rsidP="00766CA6">
      <w:pPr>
        <w:spacing w:after="0"/>
        <w:jc w:val="both"/>
        <w:rPr>
          <w:rFonts w:ascii="Verdana" w:hAnsi="Verdana"/>
          <w:sz w:val="20"/>
          <w:szCs w:val="20"/>
        </w:rPr>
      </w:pPr>
    </w:p>
    <w:p w14:paraId="2AB58DD5" w14:textId="77777777" w:rsidR="00005FAB" w:rsidRDefault="00005FAB" w:rsidP="00766CA6">
      <w:pPr>
        <w:spacing w:after="0"/>
        <w:jc w:val="both"/>
        <w:rPr>
          <w:rFonts w:ascii="Verdana" w:hAnsi="Verdana"/>
          <w:sz w:val="20"/>
          <w:szCs w:val="20"/>
        </w:rPr>
      </w:pPr>
    </w:p>
    <w:p w14:paraId="61C8D835" w14:textId="77777777" w:rsidR="00005FAB" w:rsidRDefault="00005FAB" w:rsidP="00766CA6">
      <w:pPr>
        <w:spacing w:after="0"/>
        <w:jc w:val="both"/>
        <w:rPr>
          <w:rFonts w:ascii="Verdana" w:hAnsi="Verdana"/>
          <w:sz w:val="20"/>
          <w:szCs w:val="20"/>
        </w:rPr>
      </w:pPr>
    </w:p>
    <w:p w14:paraId="403FA67E" w14:textId="77777777" w:rsidR="00005FAB" w:rsidRDefault="00005FAB" w:rsidP="00766CA6">
      <w:pPr>
        <w:spacing w:after="0"/>
        <w:jc w:val="both"/>
        <w:rPr>
          <w:rFonts w:ascii="Verdana" w:hAnsi="Verdana"/>
          <w:sz w:val="20"/>
          <w:szCs w:val="20"/>
        </w:rPr>
      </w:pPr>
    </w:p>
    <w:p w14:paraId="72EF34FC" w14:textId="77777777" w:rsidR="00005FAB" w:rsidRDefault="00005FAB" w:rsidP="00766CA6">
      <w:pPr>
        <w:spacing w:after="0"/>
        <w:jc w:val="both"/>
        <w:rPr>
          <w:rFonts w:ascii="Verdana" w:hAnsi="Verdana"/>
          <w:sz w:val="20"/>
          <w:szCs w:val="20"/>
        </w:rPr>
      </w:pPr>
    </w:p>
    <w:p w14:paraId="24DDAF3F" w14:textId="77777777" w:rsidR="00005FAB" w:rsidRDefault="00005FAB" w:rsidP="00766CA6">
      <w:pPr>
        <w:spacing w:after="0"/>
        <w:jc w:val="both"/>
        <w:rPr>
          <w:rFonts w:ascii="Verdana" w:hAnsi="Verdana"/>
          <w:sz w:val="20"/>
          <w:szCs w:val="20"/>
        </w:rPr>
      </w:pPr>
    </w:p>
    <w:p w14:paraId="6AB08615" w14:textId="77777777" w:rsidR="00005FAB" w:rsidRDefault="00005FAB" w:rsidP="00766CA6">
      <w:pPr>
        <w:spacing w:after="0"/>
        <w:jc w:val="both"/>
        <w:rPr>
          <w:rFonts w:ascii="Verdana" w:hAnsi="Verdana"/>
          <w:sz w:val="20"/>
          <w:szCs w:val="20"/>
        </w:rPr>
      </w:pPr>
    </w:p>
    <w:p w14:paraId="2E17BC02" w14:textId="77777777" w:rsidR="00DF3346" w:rsidRDefault="00DF3346" w:rsidP="00766CA6">
      <w:pPr>
        <w:spacing w:after="0"/>
        <w:jc w:val="both"/>
        <w:rPr>
          <w:rFonts w:ascii="Verdana" w:hAnsi="Verdana"/>
          <w:sz w:val="20"/>
          <w:szCs w:val="20"/>
        </w:rPr>
      </w:pPr>
    </w:p>
    <w:p w14:paraId="5DA58EB7" w14:textId="77777777" w:rsidR="00DF3346" w:rsidRDefault="00DF3346" w:rsidP="00766CA6">
      <w:pPr>
        <w:spacing w:after="0"/>
        <w:jc w:val="both"/>
        <w:rPr>
          <w:rFonts w:ascii="Verdana" w:hAnsi="Verdana"/>
          <w:sz w:val="20"/>
          <w:szCs w:val="20"/>
        </w:rPr>
      </w:pPr>
    </w:p>
    <w:p w14:paraId="29AE3C66" w14:textId="77777777" w:rsidR="00DF3346" w:rsidRDefault="00DF3346" w:rsidP="00766CA6">
      <w:pPr>
        <w:spacing w:after="0"/>
        <w:jc w:val="both"/>
        <w:rPr>
          <w:rFonts w:ascii="Verdana" w:hAnsi="Verdana"/>
          <w:sz w:val="20"/>
          <w:szCs w:val="20"/>
        </w:rPr>
      </w:pPr>
    </w:p>
    <w:p w14:paraId="3D0BECB9" w14:textId="77777777" w:rsidR="00DF3346" w:rsidRDefault="00DF3346" w:rsidP="00766CA6">
      <w:pPr>
        <w:spacing w:after="0"/>
        <w:jc w:val="both"/>
        <w:rPr>
          <w:rFonts w:ascii="Verdana" w:hAnsi="Verdana"/>
          <w:sz w:val="20"/>
          <w:szCs w:val="20"/>
        </w:rPr>
      </w:pPr>
    </w:p>
    <w:p w14:paraId="4E952CC3" w14:textId="77777777" w:rsidR="00DF3346" w:rsidRDefault="00DF3346" w:rsidP="00766CA6">
      <w:pPr>
        <w:spacing w:after="0"/>
        <w:jc w:val="both"/>
        <w:rPr>
          <w:rFonts w:ascii="Verdana" w:hAnsi="Verdana"/>
          <w:sz w:val="20"/>
          <w:szCs w:val="20"/>
        </w:rPr>
      </w:pPr>
    </w:p>
    <w:p w14:paraId="1E2C5A7F" w14:textId="77777777" w:rsidR="003B61EA" w:rsidRDefault="003B61EA" w:rsidP="00766CA6">
      <w:pPr>
        <w:spacing w:after="0"/>
        <w:jc w:val="both"/>
        <w:rPr>
          <w:rFonts w:ascii="Verdana" w:hAnsi="Verdana"/>
          <w:sz w:val="20"/>
          <w:szCs w:val="20"/>
        </w:rPr>
      </w:pPr>
    </w:p>
    <w:p w14:paraId="4AFE6BB9" w14:textId="77777777" w:rsidR="00EA4ECE" w:rsidRDefault="00EA4ECE">
      <w:pPr>
        <w:rPr>
          <w:rFonts w:ascii="Verdana" w:hAnsi="Verdana"/>
          <w:b/>
          <w:bCs/>
          <w:sz w:val="20"/>
          <w:szCs w:val="20"/>
        </w:rPr>
      </w:pPr>
      <w:r>
        <w:rPr>
          <w:rFonts w:ascii="Verdana" w:hAnsi="Verdana"/>
          <w:b/>
          <w:bCs/>
          <w:sz w:val="20"/>
          <w:szCs w:val="20"/>
        </w:rPr>
        <w:br w:type="page"/>
      </w:r>
    </w:p>
    <w:p w14:paraId="11667A82" w14:textId="0CA5F385" w:rsidR="00F8762E" w:rsidRDefault="00F8762E" w:rsidP="00766CA6">
      <w:pPr>
        <w:spacing w:after="0"/>
        <w:jc w:val="both"/>
        <w:rPr>
          <w:rFonts w:ascii="Verdana" w:hAnsi="Verdana"/>
          <w:b/>
          <w:bCs/>
          <w:sz w:val="20"/>
          <w:szCs w:val="20"/>
        </w:rPr>
      </w:pPr>
      <w:r>
        <w:rPr>
          <w:rFonts w:ascii="Verdana" w:hAnsi="Verdana"/>
          <w:b/>
          <w:bCs/>
          <w:sz w:val="20"/>
          <w:szCs w:val="20"/>
        </w:rPr>
        <w:lastRenderedPageBreak/>
        <w:t xml:space="preserve">GESTIÓN DEL </w:t>
      </w:r>
      <w:r w:rsidRPr="00A810C8">
        <w:rPr>
          <w:rFonts w:ascii="Verdana" w:hAnsi="Verdana"/>
          <w:b/>
          <w:bCs/>
          <w:sz w:val="20"/>
          <w:szCs w:val="20"/>
        </w:rPr>
        <w:t xml:space="preserve">RIESGO </w:t>
      </w:r>
      <w:r w:rsidR="002C30AF" w:rsidRPr="002C30AF">
        <w:rPr>
          <w:rFonts w:ascii="Verdana" w:hAnsi="Verdana"/>
          <w:b/>
          <w:bCs/>
          <w:sz w:val="20"/>
          <w:szCs w:val="20"/>
        </w:rPr>
        <w:t>DE LIQUIDEZ</w:t>
      </w:r>
    </w:p>
    <w:p w14:paraId="237678C3" w14:textId="77777777" w:rsidR="00F8762E" w:rsidRDefault="00F8762E" w:rsidP="00766CA6">
      <w:pPr>
        <w:spacing w:after="0"/>
        <w:jc w:val="both"/>
        <w:rPr>
          <w:rFonts w:ascii="Verdana" w:hAnsi="Verdana"/>
          <w:sz w:val="20"/>
          <w:szCs w:val="20"/>
        </w:rPr>
      </w:pPr>
    </w:p>
    <w:p w14:paraId="130398C6" w14:textId="56414C42" w:rsidR="00F8762E" w:rsidRPr="007735FE" w:rsidRDefault="00F8762E" w:rsidP="00766CA6">
      <w:pPr>
        <w:jc w:val="both"/>
        <w:rPr>
          <w:rFonts w:ascii="Verdana" w:hAnsi="Verdana"/>
          <w:b/>
          <w:bCs/>
          <w:sz w:val="20"/>
          <w:szCs w:val="20"/>
        </w:rPr>
      </w:pPr>
      <w:r>
        <w:rPr>
          <w:rFonts w:ascii="Verdana" w:hAnsi="Verdana"/>
          <w:b/>
          <w:bCs/>
          <w:sz w:val="20"/>
          <w:szCs w:val="20"/>
        </w:rPr>
        <w:t xml:space="preserve">Definición de riesgo </w:t>
      </w:r>
      <w:r w:rsidRPr="0069214A">
        <w:rPr>
          <w:rFonts w:ascii="Verdana" w:hAnsi="Verdana"/>
          <w:b/>
          <w:bCs/>
          <w:sz w:val="20"/>
          <w:szCs w:val="20"/>
        </w:rPr>
        <w:t xml:space="preserve">de </w:t>
      </w:r>
      <w:r w:rsidR="005C3A0B" w:rsidRPr="005C3A0B">
        <w:rPr>
          <w:rFonts w:ascii="Verdana" w:hAnsi="Verdana"/>
          <w:b/>
          <w:bCs/>
          <w:sz w:val="20"/>
          <w:szCs w:val="20"/>
        </w:rPr>
        <w:t>liquidez</w:t>
      </w:r>
    </w:p>
    <w:p w14:paraId="0C08A5CC" w14:textId="49C088BF" w:rsidR="00F8762E" w:rsidRPr="000001A2" w:rsidRDefault="00F8762E" w:rsidP="00766CA6">
      <w:pPr>
        <w:spacing w:after="0"/>
        <w:jc w:val="both"/>
        <w:rPr>
          <w:rFonts w:ascii="Verdana" w:hAnsi="Verdana"/>
          <w:sz w:val="20"/>
          <w:szCs w:val="20"/>
        </w:rPr>
      </w:pPr>
      <w:r>
        <w:rPr>
          <w:rFonts w:ascii="Verdana" w:hAnsi="Verdana"/>
          <w:sz w:val="20"/>
          <w:szCs w:val="20"/>
        </w:rPr>
        <w:t>1.1.2.</w:t>
      </w:r>
      <w:r w:rsidR="005C3A0B">
        <w:rPr>
          <w:rFonts w:ascii="Verdana" w:hAnsi="Verdana"/>
          <w:sz w:val="20"/>
          <w:szCs w:val="20"/>
        </w:rPr>
        <w:t>140</w:t>
      </w:r>
      <w:r>
        <w:rPr>
          <w:rFonts w:ascii="Verdana" w:hAnsi="Verdana"/>
          <w:sz w:val="20"/>
          <w:szCs w:val="20"/>
        </w:rPr>
        <w:t>.</w:t>
      </w:r>
    </w:p>
    <w:p w14:paraId="42CD299F" w14:textId="3E0E1681" w:rsidR="00F8762E" w:rsidRDefault="00813614" w:rsidP="00766CA6">
      <w:pPr>
        <w:jc w:val="both"/>
        <w:rPr>
          <w:rFonts w:ascii="Verdana" w:hAnsi="Verdana"/>
          <w:sz w:val="20"/>
          <w:szCs w:val="20"/>
        </w:rPr>
      </w:pPr>
      <w:r w:rsidRPr="00813614">
        <w:rPr>
          <w:rFonts w:ascii="Verdana" w:hAnsi="Verdana"/>
          <w:sz w:val="20"/>
          <w:szCs w:val="20"/>
        </w:rPr>
        <w:t>Es la posibilidad de que una entidad incurra en pérdidas asociadas a la contingencia de no poder cumplir plenamente, de manera oportuna y eficiente con los flujos de caja esperados e inesperados, vigentes y futuros, sin afectar el curso de las operaciones diarias o la condición financiera de la entidad. El riesgo de liquidez se puede presentar a través del riesgo de liquidez de fondeo y el riesgo de liquidez de mercado.</w:t>
      </w:r>
    </w:p>
    <w:p w14:paraId="7803B522" w14:textId="5CC464DD" w:rsidR="005C3A0B" w:rsidRPr="000001A2" w:rsidRDefault="005C3A0B" w:rsidP="005C3A0B">
      <w:pPr>
        <w:spacing w:after="0"/>
        <w:jc w:val="both"/>
        <w:rPr>
          <w:rFonts w:ascii="Verdana" w:hAnsi="Verdana"/>
          <w:sz w:val="20"/>
          <w:szCs w:val="20"/>
        </w:rPr>
      </w:pPr>
      <w:r>
        <w:rPr>
          <w:rFonts w:ascii="Verdana" w:hAnsi="Verdana"/>
          <w:sz w:val="20"/>
          <w:szCs w:val="20"/>
        </w:rPr>
        <w:t>1.1.2.</w:t>
      </w:r>
      <w:r w:rsidR="00842FB6">
        <w:rPr>
          <w:rFonts w:ascii="Verdana" w:hAnsi="Verdana"/>
          <w:sz w:val="20"/>
          <w:szCs w:val="20"/>
        </w:rPr>
        <w:t>141</w:t>
      </w:r>
      <w:r>
        <w:rPr>
          <w:rFonts w:ascii="Verdana" w:hAnsi="Verdana"/>
          <w:sz w:val="20"/>
          <w:szCs w:val="20"/>
        </w:rPr>
        <w:t>.</w:t>
      </w:r>
    </w:p>
    <w:p w14:paraId="4148C852" w14:textId="62E7EEE3" w:rsidR="005C3A0B" w:rsidRPr="000209E8" w:rsidRDefault="00842FB6" w:rsidP="005C3A0B">
      <w:pPr>
        <w:jc w:val="both"/>
        <w:rPr>
          <w:rFonts w:ascii="Verdana" w:hAnsi="Verdana"/>
          <w:sz w:val="20"/>
          <w:szCs w:val="20"/>
        </w:rPr>
      </w:pPr>
      <w:r w:rsidRPr="00842FB6">
        <w:rPr>
          <w:rFonts w:ascii="Verdana" w:hAnsi="Verdana"/>
          <w:sz w:val="20"/>
          <w:szCs w:val="20"/>
        </w:rPr>
        <w:t>El riesgo de liquidez de fondeo se manifiesta en la insuficiencia de activos líquidos disponibles para cumplir con los flujos de caja mencionados y/o en la necesidad de asumir costos inusuales de fondeo.</w:t>
      </w:r>
    </w:p>
    <w:p w14:paraId="25F19410" w14:textId="3E060761" w:rsidR="00842FB6" w:rsidRPr="000001A2" w:rsidRDefault="00842FB6" w:rsidP="00842FB6">
      <w:pPr>
        <w:spacing w:after="0"/>
        <w:jc w:val="both"/>
        <w:rPr>
          <w:rFonts w:ascii="Verdana" w:hAnsi="Verdana"/>
          <w:sz w:val="20"/>
          <w:szCs w:val="20"/>
        </w:rPr>
      </w:pPr>
      <w:r>
        <w:rPr>
          <w:rFonts w:ascii="Verdana" w:hAnsi="Verdana"/>
          <w:sz w:val="20"/>
          <w:szCs w:val="20"/>
        </w:rPr>
        <w:t>1.1.2.142.</w:t>
      </w:r>
    </w:p>
    <w:p w14:paraId="56899AC7" w14:textId="3AB37DF4" w:rsidR="005C3A0B" w:rsidRDefault="00DD55B3" w:rsidP="00766CA6">
      <w:pPr>
        <w:jc w:val="both"/>
        <w:rPr>
          <w:rFonts w:ascii="Verdana" w:hAnsi="Verdana"/>
          <w:sz w:val="20"/>
          <w:szCs w:val="20"/>
        </w:rPr>
      </w:pPr>
      <w:r w:rsidRPr="00DD55B3">
        <w:rPr>
          <w:rFonts w:ascii="Verdana" w:hAnsi="Verdana"/>
          <w:sz w:val="20"/>
          <w:szCs w:val="20"/>
        </w:rPr>
        <w:t>El riesgo de liquidez de mercado se da cuando la capacidad de la entidad para generar o deshacer posiciones financieras a precios de mercado, se ve limitada bien sea porque no existe la profundidad adecuada del mercado o, porque se presentan cambios drásticos en las tasas y precios.</w:t>
      </w:r>
    </w:p>
    <w:p w14:paraId="53C2A089" w14:textId="77777777" w:rsidR="00F8762E" w:rsidRPr="007735FE" w:rsidRDefault="00F8762E" w:rsidP="00766CA6">
      <w:pPr>
        <w:jc w:val="both"/>
        <w:rPr>
          <w:rFonts w:ascii="Verdana" w:hAnsi="Verdana"/>
          <w:b/>
          <w:bCs/>
          <w:sz w:val="20"/>
          <w:szCs w:val="20"/>
        </w:rPr>
      </w:pPr>
      <w:r>
        <w:rPr>
          <w:rFonts w:ascii="Verdana" w:hAnsi="Verdana"/>
          <w:b/>
          <w:bCs/>
          <w:sz w:val="20"/>
          <w:szCs w:val="20"/>
        </w:rPr>
        <w:t>Ámbito de aplicación</w:t>
      </w:r>
    </w:p>
    <w:p w14:paraId="6C95978F" w14:textId="45D29E91" w:rsidR="00F8762E" w:rsidRPr="000001A2" w:rsidRDefault="00F8762E" w:rsidP="00766CA6">
      <w:pPr>
        <w:spacing w:after="0"/>
        <w:jc w:val="both"/>
        <w:rPr>
          <w:rFonts w:ascii="Verdana" w:hAnsi="Verdana"/>
          <w:sz w:val="20"/>
          <w:szCs w:val="20"/>
        </w:rPr>
      </w:pPr>
      <w:r>
        <w:rPr>
          <w:rFonts w:ascii="Verdana" w:hAnsi="Verdana"/>
          <w:sz w:val="20"/>
          <w:szCs w:val="20"/>
        </w:rPr>
        <w:t>1.1.2.</w:t>
      </w:r>
      <w:r w:rsidR="0099177F">
        <w:rPr>
          <w:rFonts w:ascii="Verdana" w:hAnsi="Verdana"/>
          <w:sz w:val="20"/>
          <w:szCs w:val="20"/>
        </w:rPr>
        <w:t>143</w:t>
      </w:r>
      <w:r>
        <w:rPr>
          <w:rFonts w:ascii="Verdana" w:hAnsi="Verdana"/>
          <w:sz w:val="20"/>
          <w:szCs w:val="20"/>
        </w:rPr>
        <w:t>.</w:t>
      </w:r>
    </w:p>
    <w:p w14:paraId="41E44974" w14:textId="42652E7D" w:rsidR="00F8762E" w:rsidRPr="000209E8" w:rsidRDefault="00C764B3" w:rsidP="00766CA6">
      <w:pPr>
        <w:jc w:val="both"/>
        <w:rPr>
          <w:rFonts w:ascii="Verdana" w:hAnsi="Verdana"/>
          <w:sz w:val="20"/>
          <w:szCs w:val="20"/>
        </w:rPr>
      </w:pPr>
      <w:r w:rsidRPr="00C764B3">
        <w:rPr>
          <w:rFonts w:ascii="Verdana" w:hAnsi="Verdana"/>
          <w:sz w:val="20"/>
          <w:szCs w:val="20"/>
        </w:rPr>
        <w:t xml:space="preserve">Los EC, los organismos cooperativos de grado superior, las IOE, las SCBV, las SF, las SAI, las sociedades administradoras de FIC, las ASGP respecto de los fondos de pensiones voluntarias, fondos de cesantías y el fondo de retiro programado deben gestionar el riesgo de liquidez inherente a las operaciones que desarrollan, considerando los lineamientos establecidos en </w:t>
      </w:r>
      <w:r w:rsidR="00883DCB">
        <w:rPr>
          <w:rFonts w:ascii="Verdana" w:hAnsi="Verdana"/>
          <w:sz w:val="20"/>
          <w:szCs w:val="20"/>
        </w:rPr>
        <w:t>las instrucciones</w:t>
      </w:r>
      <w:r w:rsidR="004C7FD1">
        <w:rPr>
          <w:rFonts w:ascii="Verdana" w:hAnsi="Verdana"/>
          <w:sz w:val="20"/>
          <w:szCs w:val="20"/>
        </w:rPr>
        <w:t xml:space="preserve"> d</w:t>
      </w:r>
      <w:r w:rsidR="0027134D">
        <w:rPr>
          <w:rFonts w:ascii="Verdana" w:hAnsi="Verdana"/>
          <w:sz w:val="20"/>
          <w:szCs w:val="20"/>
        </w:rPr>
        <w:t>el presente capítulo</w:t>
      </w:r>
      <w:r w:rsidRPr="00C764B3">
        <w:rPr>
          <w:rFonts w:ascii="Verdana" w:hAnsi="Verdana"/>
          <w:sz w:val="20"/>
          <w:szCs w:val="20"/>
        </w:rPr>
        <w:t>.</w:t>
      </w:r>
    </w:p>
    <w:p w14:paraId="34E7CCBA" w14:textId="77777777" w:rsidR="00F8762E" w:rsidRPr="007735FE" w:rsidRDefault="00F8762E" w:rsidP="00766CA6">
      <w:pPr>
        <w:jc w:val="both"/>
        <w:rPr>
          <w:rFonts w:ascii="Verdana" w:hAnsi="Verdana"/>
          <w:b/>
          <w:bCs/>
          <w:sz w:val="20"/>
          <w:szCs w:val="20"/>
        </w:rPr>
      </w:pPr>
      <w:r>
        <w:rPr>
          <w:rFonts w:ascii="Verdana" w:hAnsi="Verdana"/>
          <w:b/>
          <w:bCs/>
          <w:sz w:val="20"/>
          <w:szCs w:val="20"/>
        </w:rPr>
        <w:t>Componentes</w:t>
      </w:r>
    </w:p>
    <w:p w14:paraId="3BA5DB2E" w14:textId="7E360DC3" w:rsidR="00F8762E" w:rsidRPr="000001A2" w:rsidRDefault="00F8762E" w:rsidP="00766CA6">
      <w:pPr>
        <w:spacing w:after="0"/>
        <w:jc w:val="both"/>
        <w:rPr>
          <w:rFonts w:ascii="Verdana" w:hAnsi="Verdana"/>
          <w:sz w:val="20"/>
          <w:szCs w:val="20"/>
        </w:rPr>
      </w:pPr>
      <w:r>
        <w:rPr>
          <w:rFonts w:ascii="Verdana" w:hAnsi="Verdana"/>
          <w:sz w:val="20"/>
          <w:szCs w:val="20"/>
        </w:rPr>
        <w:t>1.1.2.</w:t>
      </w:r>
      <w:r w:rsidR="009836DA">
        <w:rPr>
          <w:rFonts w:ascii="Verdana" w:hAnsi="Verdana"/>
          <w:sz w:val="20"/>
          <w:szCs w:val="20"/>
        </w:rPr>
        <w:t>144</w:t>
      </w:r>
      <w:r>
        <w:rPr>
          <w:rFonts w:ascii="Verdana" w:hAnsi="Verdana"/>
          <w:sz w:val="20"/>
          <w:szCs w:val="20"/>
        </w:rPr>
        <w:t>.</w:t>
      </w:r>
    </w:p>
    <w:p w14:paraId="64D644DB" w14:textId="5FBC4E93" w:rsidR="00F8762E" w:rsidRDefault="009836DA" w:rsidP="00766CA6">
      <w:pPr>
        <w:jc w:val="both"/>
        <w:rPr>
          <w:rFonts w:ascii="Verdana" w:hAnsi="Verdana"/>
          <w:sz w:val="20"/>
          <w:szCs w:val="20"/>
        </w:rPr>
      </w:pPr>
      <w:r w:rsidRPr="009836DA">
        <w:rPr>
          <w:rFonts w:ascii="Verdana" w:hAnsi="Verdana"/>
          <w:sz w:val="20"/>
          <w:szCs w:val="20"/>
        </w:rPr>
        <w:t>La materialización del riesgo de liquidez genera necesidades de recursos líquidos por parte de la entidad, la cual puede verse obligada a liquidar posiciones en activos con el objeto de reducir sus faltantes. A su vez puede llevar a que tales activos deban venderse a precios inferiores a los contabilizados, incurriendo en pérdidas. Lo anterior puede generar riesgo sistémico para las entidades en su conjunto, en virtud de su efecto sobre la liquidez del mercado y afectar la percepción del público sobre la estabilidad y la viabilidad financiera de las mismas.</w:t>
      </w:r>
    </w:p>
    <w:p w14:paraId="74EDD73A" w14:textId="4D07D35C" w:rsidR="009836DA" w:rsidRPr="000001A2" w:rsidRDefault="009836DA" w:rsidP="009836DA">
      <w:pPr>
        <w:spacing w:after="0"/>
        <w:jc w:val="both"/>
        <w:rPr>
          <w:rFonts w:ascii="Verdana" w:hAnsi="Verdana"/>
          <w:sz w:val="20"/>
          <w:szCs w:val="20"/>
        </w:rPr>
      </w:pPr>
      <w:r>
        <w:rPr>
          <w:rFonts w:ascii="Verdana" w:hAnsi="Verdana"/>
          <w:sz w:val="20"/>
          <w:szCs w:val="20"/>
        </w:rPr>
        <w:t>1.1.2.145.</w:t>
      </w:r>
    </w:p>
    <w:p w14:paraId="6366AF59" w14:textId="406870B3" w:rsidR="009836DA" w:rsidRDefault="00F5694E" w:rsidP="009836DA">
      <w:pPr>
        <w:jc w:val="both"/>
        <w:rPr>
          <w:rFonts w:ascii="Verdana" w:hAnsi="Verdana"/>
          <w:sz w:val="20"/>
          <w:szCs w:val="20"/>
        </w:rPr>
      </w:pPr>
      <w:r w:rsidRPr="00F5694E">
        <w:rPr>
          <w:rFonts w:ascii="Verdana" w:hAnsi="Verdana"/>
          <w:sz w:val="20"/>
          <w:szCs w:val="20"/>
        </w:rPr>
        <w:t xml:space="preserve">Con el fin de evitar las anteriores situaciones, la entidad debe contar con una adecuada gestión del riesgo de liquidez, que le permita identificar, medir, controlar y monitorear eficazmente el riesgo al que está expuesta en desarrollo de sus operaciones en los portafolios propios y de terceros tanto para las posiciones del libro bancario como del </w:t>
      </w:r>
      <w:r w:rsidR="002B27AE">
        <w:rPr>
          <w:rFonts w:ascii="Verdana" w:hAnsi="Verdana"/>
          <w:sz w:val="20"/>
          <w:szCs w:val="20"/>
        </w:rPr>
        <w:t xml:space="preserve">libro de </w:t>
      </w:r>
      <w:r w:rsidRPr="00F5694E">
        <w:rPr>
          <w:rFonts w:ascii="Verdana" w:hAnsi="Verdana"/>
          <w:sz w:val="20"/>
          <w:szCs w:val="20"/>
        </w:rPr>
        <w:t xml:space="preserve">tesorería, sean del balance o de fuera de </w:t>
      </w:r>
      <w:r w:rsidR="002B27AE">
        <w:rPr>
          <w:rFonts w:ascii="Verdana" w:hAnsi="Verdana"/>
          <w:sz w:val="20"/>
          <w:szCs w:val="20"/>
        </w:rPr>
        <w:t>balance</w:t>
      </w:r>
      <w:r w:rsidRPr="00F5694E">
        <w:rPr>
          <w:rFonts w:ascii="Verdana" w:hAnsi="Verdana"/>
          <w:sz w:val="20"/>
          <w:szCs w:val="20"/>
        </w:rPr>
        <w:t xml:space="preserve"> (contingencias deudoras y contingencias acreedoras), según aplique. Para lo anterior la entidad debe contar con las políticas, procedimientos, umbrales, límites, controles, metodologías, modelos, alertas tempranas y sistemas de información para su instrumentación.</w:t>
      </w:r>
    </w:p>
    <w:p w14:paraId="0250625F" w14:textId="028CBB7E" w:rsidR="009836DA" w:rsidRPr="000001A2" w:rsidRDefault="009836DA" w:rsidP="009836DA">
      <w:pPr>
        <w:spacing w:after="0"/>
        <w:jc w:val="both"/>
        <w:rPr>
          <w:rFonts w:ascii="Verdana" w:hAnsi="Verdana"/>
          <w:sz w:val="20"/>
          <w:szCs w:val="20"/>
        </w:rPr>
      </w:pPr>
      <w:r>
        <w:rPr>
          <w:rFonts w:ascii="Verdana" w:hAnsi="Verdana"/>
          <w:sz w:val="20"/>
          <w:szCs w:val="20"/>
        </w:rPr>
        <w:t>1.1.2.146.</w:t>
      </w:r>
    </w:p>
    <w:p w14:paraId="51BD7039" w14:textId="6E3BFE31" w:rsidR="0099177F" w:rsidRDefault="001B24C7" w:rsidP="00766CA6">
      <w:pPr>
        <w:jc w:val="both"/>
        <w:rPr>
          <w:rFonts w:ascii="Verdana" w:hAnsi="Verdana"/>
          <w:sz w:val="20"/>
          <w:szCs w:val="20"/>
        </w:rPr>
      </w:pPr>
      <w:r w:rsidRPr="001B24C7">
        <w:rPr>
          <w:rFonts w:ascii="Verdana" w:hAnsi="Verdana"/>
          <w:sz w:val="20"/>
          <w:szCs w:val="20"/>
        </w:rPr>
        <w:t>La entidad debe establecer la dimensión y naturaleza de su exposición e identificar las medidas prudenciales (colchones de liquidez, nivel de activos líquidos, coberturas, entre otros), así como las decisiones oportunas a adoptar para la adecuada mitigación del riesgo, incorporando planes específicos para la diversificación y consecución de diferentes fuentes de fondeo.</w:t>
      </w:r>
    </w:p>
    <w:p w14:paraId="1D74D9F3" w14:textId="7598F347" w:rsidR="0099177F" w:rsidRPr="000001A2" w:rsidRDefault="0099177F" w:rsidP="0099177F">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w:t>
      </w:r>
      <w:r w:rsidR="001B24C7">
        <w:rPr>
          <w:rFonts w:ascii="Verdana" w:hAnsi="Verdana"/>
          <w:sz w:val="20"/>
          <w:szCs w:val="20"/>
        </w:rPr>
        <w:t>147</w:t>
      </w:r>
      <w:r>
        <w:rPr>
          <w:rFonts w:ascii="Verdana" w:hAnsi="Verdana"/>
          <w:sz w:val="20"/>
          <w:szCs w:val="20"/>
        </w:rPr>
        <w:t>.</w:t>
      </w:r>
    </w:p>
    <w:p w14:paraId="26DA0DA7" w14:textId="27B6CBBE" w:rsidR="0099177F" w:rsidRPr="000209E8" w:rsidRDefault="005A6073" w:rsidP="0099177F">
      <w:pPr>
        <w:jc w:val="both"/>
        <w:rPr>
          <w:rFonts w:ascii="Verdana" w:hAnsi="Verdana"/>
          <w:sz w:val="20"/>
          <w:szCs w:val="20"/>
        </w:rPr>
      </w:pPr>
      <w:r w:rsidRPr="005A6073">
        <w:rPr>
          <w:rFonts w:ascii="Verdana" w:hAnsi="Verdana"/>
          <w:sz w:val="20"/>
          <w:szCs w:val="20"/>
        </w:rPr>
        <w:t>Adicionalmente, la entidad debe reconocer la alta interacción que tiene el riesgo de liquidez de fondeo con el riesgo de liquidez de mercado, así como con los otros tipos de riesgos a los cuales está expuesta en virtud de sus actividades.</w:t>
      </w:r>
    </w:p>
    <w:p w14:paraId="164A995C" w14:textId="442C1D18" w:rsidR="0099177F" w:rsidRPr="000001A2" w:rsidRDefault="0099177F" w:rsidP="0099177F">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w:t>
      </w:r>
      <w:r w:rsidR="001B24C7">
        <w:rPr>
          <w:rFonts w:ascii="Verdana" w:hAnsi="Verdana"/>
          <w:sz w:val="20"/>
          <w:szCs w:val="20"/>
        </w:rPr>
        <w:t>148</w:t>
      </w:r>
      <w:r>
        <w:rPr>
          <w:rFonts w:ascii="Verdana" w:hAnsi="Verdana"/>
          <w:sz w:val="20"/>
          <w:szCs w:val="20"/>
        </w:rPr>
        <w:t>.</w:t>
      </w:r>
    </w:p>
    <w:p w14:paraId="46EA2228" w14:textId="3C31EF0A" w:rsidR="0099177F" w:rsidRPr="000209E8" w:rsidRDefault="00223D6E" w:rsidP="0099177F">
      <w:pPr>
        <w:jc w:val="both"/>
        <w:rPr>
          <w:rFonts w:ascii="Verdana" w:hAnsi="Verdana"/>
          <w:sz w:val="20"/>
          <w:szCs w:val="20"/>
        </w:rPr>
      </w:pPr>
      <w:r w:rsidRPr="00223D6E">
        <w:rPr>
          <w:rFonts w:ascii="Verdana" w:hAnsi="Verdana"/>
          <w:sz w:val="20"/>
          <w:szCs w:val="20"/>
        </w:rPr>
        <w:t xml:space="preserve">La gestión del riesgo de liquidez debe ser acorde con el perfil y marco de apetito de riesgo, el plan de negocio, la naturaleza, el tamaño y la complejidad y diversidad de las actividades que desarrolle la entidad, así como con su importancia por tamaño e </w:t>
      </w:r>
      <w:r w:rsidRPr="00223D6E">
        <w:rPr>
          <w:rFonts w:ascii="Verdana" w:hAnsi="Verdana"/>
          <w:sz w:val="20"/>
          <w:szCs w:val="20"/>
        </w:rPr>
        <w:lastRenderedPageBreak/>
        <w:t xml:space="preserve">interconectividad en el sistema financiero y los entornos económicos y de los mercados en donde </w:t>
      </w:r>
      <w:r w:rsidR="00E07F03">
        <w:rPr>
          <w:rFonts w:ascii="Verdana" w:hAnsi="Verdana"/>
          <w:sz w:val="20"/>
          <w:szCs w:val="20"/>
        </w:rPr>
        <w:t>la entidad</w:t>
      </w:r>
      <w:r w:rsidRPr="00223D6E">
        <w:rPr>
          <w:rFonts w:ascii="Verdana" w:hAnsi="Verdana"/>
          <w:sz w:val="20"/>
          <w:szCs w:val="20"/>
        </w:rPr>
        <w:t xml:space="preserve"> opera</w:t>
      </w:r>
      <w:r>
        <w:rPr>
          <w:rFonts w:ascii="Verdana" w:hAnsi="Verdana"/>
          <w:sz w:val="20"/>
          <w:szCs w:val="20"/>
        </w:rPr>
        <w:t>.</w:t>
      </w:r>
    </w:p>
    <w:p w14:paraId="1F2D3A2A" w14:textId="7054D741" w:rsidR="0099177F" w:rsidRPr="000001A2" w:rsidRDefault="0099177F" w:rsidP="0099177F">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w:t>
      </w:r>
      <w:r w:rsidR="001B24C7">
        <w:rPr>
          <w:rFonts w:ascii="Verdana" w:hAnsi="Verdana"/>
          <w:sz w:val="20"/>
          <w:szCs w:val="20"/>
        </w:rPr>
        <w:t>149</w:t>
      </w:r>
      <w:r>
        <w:rPr>
          <w:rFonts w:ascii="Verdana" w:hAnsi="Verdana"/>
          <w:sz w:val="20"/>
          <w:szCs w:val="20"/>
        </w:rPr>
        <w:t>.</w:t>
      </w:r>
    </w:p>
    <w:p w14:paraId="3706DDB9" w14:textId="37791DDB" w:rsidR="0099177F" w:rsidRDefault="00DF4E89" w:rsidP="00F86720">
      <w:pPr>
        <w:jc w:val="both"/>
        <w:rPr>
          <w:rFonts w:ascii="Verdana" w:hAnsi="Verdana"/>
          <w:sz w:val="20"/>
          <w:szCs w:val="20"/>
        </w:rPr>
      </w:pPr>
      <w:r w:rsidRPr="00DF4E89">
        <w:rPr>
          <w:rFonts w:ascii="Verdana" w:hAnsi="Verdana"/>
          <w:sz w:val="20"/>
          <w:szCs w:val="20"/>
        </w:rPr>
        <w:t>La entidad que en el desarrollo de sus operaciones autorizadas se encuentre expuesta al riesgo de mercado tanto en cuenta propia, portafolios administrados como por cuenta de terceros, debe contar con una adecuada gestión del riesgo de mercado que le permita una visión integral de este riesgo en el desarrollo de su negocio.</w:t>
      </w:r>
    </w:p>
    <w:p w14:paraId="0B1C7AE6" w14:textId="77777777" w:rsidR="00F8762E" w:rsidRPr="007735FE" w:rsidRDefault="00F8762E" w:rsidP="00766CA6">
      <w:pPr>
        <w:jc w:val="both"/>
        <w:rPr>
          <w:rFonts w:ascii="Verdana" w:hAnsi="Verdana"/>
          <w:b/>
          <w:bCs/>
          <w:sz w:val="20"/>
          <w:szCs w:val="20"/>
        </w:rPr>
      </w:pPr>
      <w:r>
        <w:rPr>
          <w:rFonts w:ascii="Verdana" w:hAnsi="Verdana"/>
          <w:b/>
          <w:bCs/>
          <w:sz w:val="20"/>
          <w:szCs w:val="20"/>
        </w:rPr>
        <w:t>Etapas</w:t>
      </w:r>
    </w:p>
    <w:p w14:paraId="5EA38E43" w14:textId="332ABAA8" w:rsidR="00F8762E" w:rsidRPr="00443A04" w:rsidRDefault="00F8762E" w:rsidP="00766CA6">
      <w:pPr>
        <w:spacing w:after="0"/>
        <w:jc w:val="both"/>
        <w:rPr>
          <w:rFonts w:ascii="Verdana" w:hAnsi="Verdana"/>
          <w:sz w:val="20"/>
          <w:szCs w:val="20"/>
        </w:rPr>
      </w:pPr>
      <w:r>
        <w:rPr>
          <w:rFonts w:ascii="Verdana" w:hAnsi="Verdana"/>
          <w:sz w:val="20"/>
          <w:szCs w:val="20"/>
        </w:rPr>
        <w:t>1.1.2.</w:t>
      </w:r>
      <w:r w:rsidR="00924888">
        <w:rPr>
          <w:rFonts w:ascii="Verdana" w:hAnsi="Verdana"/>
          <w:sz w:val="20"/>
          <w:szCs w:val="20"/>
        </w:rPr>
        <w:t>150</w:t>
      </w:r>
      <w:r>
        <w:rPr>
          <w:rFonts w:ascii="Verdana" w:hAnsi="Verdana"/>
          <w:sz w:val="20"/>
          <w:szCs w:val="20"/>
        </w:rPr>
        <w:t>.</w:t>
      </w:r>
    </w:p>
    <w:p w14:paraId="43958FD5" w14:textId="7E4BE168" w:rsidR="00F8762E" w:rsidRPr="00443A04" w:rsidRDefault="00924888" w:rsidP="00766CA6">
      <w:pPr>
        <w:jc w:val="both"/>
        <w:rPr>
          <w:rFonts w:ascii="Verdana" w:hAnsi="Verdana"/>
          <w:sz w:val="20"/>
          <w:szCs w:val="20"/>
        </w:rPr>
      </w:pPr>
      <w:r w:rsidRPr="00924888">
        <w:rPr>
          <w:rFonts w:ascii="Verdana" w:hAnsi="Verdana"/>
          <w:sz w:val="20"/>
          <w:szCs w:val="20"/>
        </w:rPr>
        <w:t>Para la administración del riesgo de liquidez la entidad debe desarrollar las siguientes etapas:</w:t>
      </w:r>
    </w:p>
    <w:p w14:paraId="5BBBC302" w14:textId="77777777" w:rsidR="00F8762E" w:rsidRPr="00732E97" w:rsidRDefault="00F8762E"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Identificación</w:t>
      </w:r>
    </w:p>
    <w:p w14:paraId="4D34FB64" w14:textId="45A4B996" w:rsidR="00F8762E" w:rsidRPr="0086035E" w:rsidRDefault="00F8762E"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924888">
        <w:rPr>
          <w:rFonts w:ascii="Verdana" w:hAnsi="Verdana"/>
          <w:sz w:val="20"/>
          <w:szCs w:val="20"/>
        </w:rPr>
        <w:t>151</w:t>
      </w:r>
      <w:r w:rsidRPr="0086035E">
        <w:rPr>
          <w:rFonts w:ascii="Verdana" w:hAnsi="Verdana"/>
          <w:sz w:val="20"/>
          <w:szCs w:val="20"/>
        </w:rPr>
        <w:t>.</w:t>
      </w:r>
    </w:p>
    <w:p w14:paraId="049D191A" w14:textId="7E58AFA1" w:rsidR="00F8762E" w:rsidRDefault="00D501A4" w:rsidP="00766CA6">
      <w:pPr>
        <w:jc w:val="both"/>
        <w:rPr>
          <w:rFonts w:ascii="Verdana" w:hAnsi="Verdana"/>
          <w:sz w:val="20"/>
          <w:szCs w:val="20"/>
        </w:rPr>
      </w:pPr>
      <w:r w:rsidRPr="00D501A4">
        <w:rPr>
          <w:rFonts w:ascii="Verdana" w:hAnsi="Verdana"/>
          <w:sz w:val="20"/>
          <w:szCs w:val="20"/>
        </w:rPr>
        <w:t xml:space="preserve">La entidad debe determinar el riesgo de liquidez al que está expuesta, en virtud del tipo de posiciones asumidas, de los productos y mercados que atiende, de las actividades significativas que desarrolla de conformidad con el plan de negocio, el apetito y capacidad de riesgo, así como con las operaciones autorizadas en su objeto social y las economías en donde </w:t>
      </w:r>
      <w:r w:rsidR="008A03A5">
        <w:rPr>
          <w:rFonts w:ascii="Verdana" w:hAnsi="Verdana"/>
          <w:sz w:val="20"/>
          <w:szCs w:val="20"/>
        </w:rPr>
        <w:t>l</w:t>
      </w:r>
      <w:r w:rsidRPr="00D501A4">
        <w:rPr>
          <w:rFonts w:ascii="Verdana" w:hAnsi="Verdana"/>
          <w:sz w:val="20"/>
          <w:szCs w:val="20"/>
        </w:rPr>
        <w:t xml:space="preserve">a </w:t>
      </w:r>
      <w:r w:rsidR="008A03A5">
        <w:rPr>
          <w:rFonts w:ascii="Verdana" w:hAnsi="Verdana"/>
          <w:sz w:val="20"/>
          <w:szCs w:val="20"/>
        </w:rPr>
        <w:t>entidad</w:t>
      </w:r>
      <w:r w:rsidRPr="00D501A4">
        <w:rPr>
          <w:rFonts w:ascii="Verdana" w:hAnsi="Verdana"/>
          <w:sz w:val="20"/>
          <w:szCs w:val="20"/>
        </w:rPr>
        <w:t xml:space="preserve"> opera.</w:t>
      </w:r>
    </w:p>
    <w:p w14:paraId="04F03790" w14:textId="08194B2C" w:rsidR="00F22778" w:rsidRPr="0086035E" w:rsidRDefault="00F22778" w:rsidP="00F22778">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15</w:t>
      </w:r>
      <w:r w:rsidR="0005075E">
        <w:rPr>
          <w:rFonts w:ascii="Verdana" w:hAnsi="Verdana"/>
          <w:sz w:val="20"/>
          <w:szCs w:val="20"/>
        </w:rPr>
        <w:t>2</w:t>
      </w:r>
      <w:r w:rsidRPr="0086035E">
        <w:rPr>
          <w:rFonts w:ascii="Verdana" w:hAnsi="Verdana"/>
          <w:sz w:val="20"/>
          <w:szCs w:val="20"/>
        </w:rPr>
        <w:t>.</w:t>
      </w:r>
    </w:p>
    <w:p w14:paraId="0E9053A7" w14:textId="1F08AECD" w:rsidR="00F22778" w:rsidRDefault="0005075E" w:rsidP="00F22778">
      <w:pPr>
        <w:jc w:val="both"/>
        <w:rPr>
          <w:rFonts w:ascii="Verdana" w:hAnsi="Verdana"/>
          <w:sz w:val="20"/>
          <w:szCs w:val="20"/>
        </w:rPr>
      </w:pPr>
      <w:r w:rsidRPr="0005075E">
        <w:rPr>
          <w:rFonts w:ascii="Verdana" w:hAnsi="Verdana"/>
          <w:sz w:val="20"/>
          <w:szCs w:val="20"/>
        </w:rPr>
        <w:t>Esta etapa también debe realizarse previamente a la creación de nuevos productos, determinando el perfil de riesgo y cuantificando el impacto que éstos tienen en el nivel de exposición al riesgo de liquidez de la entidad.</w:t>
      </w:r>
    </w:p>
    <w:p w14:paraId="7963576C" w14:textId="77777777" w:rsidR="00971AAA" w:rsidRPr="00732E97" w:rsidRDefault="00971AAA" w:rsidP="00766CA6">
      <w:pPr>
        <w:pStyle w:val="Prrafodelista"/>
        <w:numPr>
          <w:ilvl w:val="0"/>
          <w:numId w:val="2"/>
        </w:numPr>
        <w:ind w:left="284" w:hanging="284"/>
        <w:jc w:val="both"/>
        <w:rPr>
          <w:rFonts w:ascii="Verdana" w:hAnsi="Verdana"/>
          <w:b/>
          <w:bCs/>
          <w:sz w:val="20"/>
          <w:szCs w:val="20"/>
        </w:rPr>
      </w:pPr>
      <w:r>
        <w:rPr>
          <w:rFonts w:ascii="Verdana" w:hAnsi="Verdana"/>
          <w:b/>
          <w:bCs/>
          <w:sz w:val="20"/>
          <w:szCs w:val="20"/>
        </w:rPr>
        <w:t>Medición</w:t>
      </w:r>
    </w:p>
    <w:p w14:paraId="731DB4B4" w14:textId="632FA91A" w:rsidR="00971AAA" w:rsidRPr="0086035E" w:rsidRDefault="00971AAA"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5</w:t>
      </w:r>
      <w:r w:rsidR="00A0401E">
        <w:rPr>
          <w:rFonts w:ascii="Verdana" w:hAnsi="Verdana"/>
          <w:sz w:val="20"/>
          <w:szCs w:val="20"/>
        </w:rPr>
        <w:t>3</w:t>
      </w:r>
      <w:r w:rsidRPr="0086035E">
        <w:rPr>
          <w:rFonts w:ascii="Verdana" w:hAnsi="Verdana"/>
          <w:sz w:val="20"/>
          <w:szCs w:val="20"/>
        </w:rPr>
        <w:t>.</w:t>
      </w:r>
    </w:p>
    <w:p w14:paraId="55AA61F0" w14:textId="1523DCD8" w:rsidR="00971AAA" w:rsidRDefault="001637B5" w:rsidP="00766CA6">
      <w:pPr>
        <w:jc w:val="both"/>
        <w:rPr>
          <w:rFonts w:ascii="Verdana" w:hAnsi="Verdana"/>
          <w:sz w:val="20"/>
          <w:szCs w:val="20"/>
        </w:rPr>
      </w:pPr>
      <w:r w:rsidRPr="001637B5">
        <w:rPr>
          <w:rFonts w:ascii="Verdana" w:hAnsi="Verdana"/>
          <w:sz w:val="20"/>
          <w:szCs w:val="20"/>
        </w:rPr>
        <w:t>La entidad debe cuantificar el nivel mínimo de activos líquidos, en moneda nacional y extranjera, que debe mantener diariamente para prevenir la materialización del riesgo de liquidez, es decir, el nivel de activos que le permita, cumplir oportuna y cabalmente sus obligaciones de pago.</w:t>
      </w:r>
    </w:p>
    <w:p w14:paraId="047C1A78" w14:textId="13A0D73B" w:rsidR="00971AAA" w:rsidRPr="0086035E" w:rsidRDefault="00971AAA"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924888">
        <w:rPr>
          <w:rFonts w:ascii="Verdana" w:hAnsi="Verdana"/>
          <w:sz w:val="20"/>
          <w:szCs w:val="20"/>
        </w:rPr>
        <w:t>5</w:t>
      </w:r>
      <w:r w:rsidR="00A0401E">
        <w:rPr>
          <w:rFonts w:ascii="Verdana" w:hAnsi="Verdana"/>
          <w:sz w:val="20"/>
          <w:szCs w:val="20"/>
        </w:rPr>
        <w:t>4</w:t>
      </w:r>
      <w:r w:rsidRPr="0086035E">
        <w:rPr>
          <w:rFonts w:ascii="Verdana" w:hAnsi="Verdana"/>
          <w:sz w:val="20"/>
          <w:szCs w:val="20"/>
        </w:rPr>
        <w:t>.</w:t>
      </w:r>
    </w:p>
    <w:p w14:paraId="7618ED02" w14:textId="693CA2E9" w:rsidR="00971AAA" w:rsidRDefault="00FC6B95" w:rsidP="00766CA6">
      <w:pPr>
        <w:jc w:val="both"/>
        <w:rPr>
          <w:rFonts w:ascii="Verdana" w:hAnsi="Verdana"/>
          <w:sz w:val="20"/>
          <w:szCs w:val="20"/>
        </w:rPr>
      </w:pPr>
      <w:r w:rsidRPr="00FC6B95">
        <w:rPr>
          <w:rFonts w:ascii="Verdana" w:hAnsi="Verdana"/>
          <w:sz w:val="20"/>
          <w:szCs w:val="20"/>
        </w:rPr>
        <w:t>La</w:t>
      </w:r>
      <w:r w:rsidR="003C1B4F">
        <w:rPr>
          <w:rFonts w:ascii="Verdana" w:hAnsi="Verdana"/>
          <w:sz w:val="20"/>
          <w:szCs w:val="20"/>
        </w:rPr>
        <w:t>s</w:t>
      </w:r>
      <w:r w:rsidRPr="00FC6B95">
        <w:rPr>
          <w:rFonts w:ascii="Verdana" w:hAnsi="Verdana"/>
          <w:sz w:val="20"/>
          <w:szCs w:val="20"/>
        </w:rPr>
        <w:t xml:space="preserve"> entidad</w:t>
      </w:r>
      <w:r w:rsidR="003C1B4F">
        <w:rPr>
          <w:rFonts w:ascii="Verdana" w:hAnsi="Verdana"/>
          <w:sz w:val="20"/>
          <w:szCs w:val="20"/>
        </w:rPr>
        <w:t>es</w:t>
      </w:r>
      <w:r w:rsidRPr="00FC6B95">
        <w:rPr>
          <w:rFonts w:ascii="Verdana" w:hAnsi="Verdana"/>
          <w:sz w:val="20"/>
          <w:szCs w:val="20"/>
        </w:rPr>
        <w:t xml:space="preserve"> debe</w:t>
      </w:r>
      <w:r w:rsidR="003C1B4F">
        <w:rPr>
          <w:rFonts w:ascii="Verdana" w:hAnsi="Verdana"/>
          <w:sz w:val="20"/>
          <w:szCs w:val="20"/>
        </w:rPr>
        <w:t>n</w:t>
      </w:r>
      <w:r w:rsidRPr="00FC6B95">
        <w:rPr>
          <w:rFonts w:ascii="Verdana" w:hAnsi="Verdana"/>
          <w:sz w:val="20"/>
          <w:szCs w:val="20"/>
        </w:rPr>
        <w:t xml:space="preserve"> establecer las condiciones, tipo de operaciones y límites para el suministro y acceso a liquidez dentro del conglomerado financiero y de la entidad a partes relacionadas, que mitiguen el riesgo de contagio en condiciones de crisis.</w:t>
      </w:r>
    </w:p>
    <w:p w14:paraId="354967BA" w14:textId="4CB7DE09" w:rsidR="00971AAA" w:rsidRPr="0086035E" w:rsidRDefault="00971AAA"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A0401E">
        <w:rPr>
          <w:rFonts w:ascii="Verdana" w:hAnsi="Verdana"/>
          <w:sz w:val="20"/>
          <w:szCs w:val="20"/>
        </w:rPr>
        <w:t>5</w:t>
      </w:r>
      <w:r w:rsidR="002E3FFA">
        <w:rPr>
          <w:rFonts w:ascii="Verdana" w:hAnsi="Verdana"/>
          <w:sz w:val="20"/>
          <w:szCs w:val="20"/>
        </w:rPr>
        <w:t>5</w:t>
      </w:r>
      <w:r w:rsidRPr="0086035E">
        <w:rPr>
          <w:rFonts w:ascii="Verdana" w:hAnsi="Verdana"/>
          <w:sz w:val="20"/>
          <w:szCs w:val="20"/>
        </w:rPr>
        <w:t>.</w:t>
      </w:r>
    </w:p>
    <w:p w14:paraId="5C1D2A1A" w14:textId="0AA8F236" w:rsidR="00971AAA" w:rsidRDefault="00FB7A6A" w:rsidP="00766CA6">
      <w:pPr>
        <w:jc w:val="both"/>
        <w:rPr>
          <w:rFonts w:ascii="Verdana" w:hAnsi="Verdana"/>
          <w:sz w:val="20"/>
          <w:szCs w:val="20"/>
        </w:rPr>
      </w:pPr>
      <w:r w:rsidRPr="00FB7A6A">
        <w:rPr>
          <w:rFonts w:ascii="Verdana" w:hAnsi="Verdana"/>
          <w:sz w:val="20"/>
          <w:szCs w:val="20"/>
        </w:rPr>
        <w:t>La</w:t>
      </w:r>
      <w:r w:rsidR="003C1B4F">
        <w:rPr>
          <w:rFonts w:ascii="Verdana" w:hAnsi="Verdana"/>
          <w:sz w:val="20"/>
          <w:szCs w:val="20"/>
        </w:rPr>
        <w:t>s</w:t>
      </w:r>
      <w:r w:rsidRPr="00FB7A6A">
        <w:rPr>
          <w:rFonts w:ascii="Verdana" w:hAnsi="Verdana"/>
          <w:sz w:val="20"/>
          <w:szCs w:val="20"/>
        </w:rPr>
        <w:t xml:space="preserve"> entidad</w:t>
      </w:r>
      <w:r w:rsidR="003C1B4F">
        <w:rPr>
          <w:rFonts w:ascii="Verdana" w:hAnsi="Verdana"/>
          <w:sz w:val="20"/>
          <w:szCs w:val="20"/>
        </w:rPr>
        <w:t>es</w:t>
      </w:r>
      <w:r w:rsidRPr="00FB7A6A">
        <w:rPr>
          <w:rFonts w:ascii="Verdana" w:hAnsi="Verdana"/>
          <w:sz w:val="20"/>
          <w:szCs w:val="20"/>
        </w:rPr>
        <w:t xml:space="preserve"> debe</w:t>
      </w:r>
      <w:r w:rsidR="003C1B4F">
        <w:rPr>
          <w:rFonts w:ascii="Verdana" w:hAnsi="Verdana"/>
          <w:sz w:val="20"/>
          <w:szCs w:val="20"/>
        </w:rPr>
        <w:t>n</w:t>
      </w:r>
      <w:r w:rsidRPr="00FB7A6A">
        <w:rPr>
          <w:rFonts w:ascii="Verdana" w:hAnsi="Verdana"/>
          <w:sz w:val="20"/>
          <w:szCs w:val="20"/>
        </w:rPr>
        <w:t xml:space="preserve"> tener un comportamiento proactivo y prospectivo para identificar descalces de fondeo en varios horizontes de tiempo y para analizar el riesgo de liquidez de mercado emergente del portafolio de inversiones, que le permita crear señales de alerta temprana y establecer límites encaminados a evitar la materialización de riesgos en presencia de eventos adversos del mercado, al interior de la entidad o de ambos, en materia de liquidez.</w:t>
      </w:r>
    </w:p>
    <w:p w14:paraId="09763602" w14:textId="27C6FC14" w:rsidR="00A0401E" w:rsidRPr="0086035E" w:rsidRDefault="00A0401E" w:rsidP="00A0401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5</w:t>
      </w:r>
      <w:r w:rsidR="002E3FFA">
        <w:rPr>
          <w:rFonts w:ascii="Verdana" w:hAnsi="Verdana"/>
          <w:sz w:val="20"/>
          <w:szCs w:val="20"/>
        </w:rPr>
        <w:t>6</w:t>
      </w:r>
      <w:r w:rsidRPr="0086035E">
        <w:rPr>
          <w:rFonts w:ascii="Verdana" w:hAnsi="Verdana"/>
          <w:sz w:val="20"/>
          <w:szCs w:val="20"/>
        </w:rPr>
        <w:t>.</w:t>
      </w:r>
    </w:p>
    <w:p w14:paraId="1702AB9E" w14:textId="2C2D8F8F" w:rsidR="00A0401E" w:rsidRPr="008D1A73" w:rsidRDefault="004F73C7" w:rsidP="00A0401E">
      <w:pPr>
        <w:jc w:val="both"/>
        <w:rPr>
          <w:rFonts w:ascii="Verdana" w:hAnsi="Verdana"/>
          <w:sz w:val="20"/>
          <w:szCs w:val="20"/>
        </w:rPr>
      </w:pPr>
      <w:r w:rsidRPr="004F73C7">
        <w:rPr>
          <w:rFonts w:ascii="Verdana" w:hAnsi="Verdana"/>
          <w:sz w:val="20"/>
          <w:szCs w:val="20"/>
        </w:rPr>
        <w:t>La</w:t>
      </w:r>
      <w:r w:rsidR="003C1B4F">
        <w:rPr>
          <w:rFonts w:ascii="Verdana" w:hAnsi="Verdana"/>
          <w:sz w:val="20"/>
          <w:szCs w:val="20"/>
        </w:rPr>
        <w:t>s</w:t>
      </w:r>
      <w:r w:rsidRPr="004F73C7">
        <w:rPr>
          <w:rFonts w:ascii="Verdana" w:hAnsi="Verdana"/>
          <w:sz w:val="20"/>
          <w:szCs w:val="20"/>
        </w:rPr>
        <w:t xml:space="preserve"> entidad</w:t>
      </w:r>
      <w:r w:rsidR="003C1B4F">
        <w:rPr>
          <w:rFonts w:ascii="Verdana" w:hAnsi="Verdana"/>
          <w:sz w:val="20"/>
          <w:szCs w:val="20"/>
        </w:rPr>
        <w:t>es</w:t>
      </w:r>
      <w:r w:rsidRPr="004F73C7">
        <w:rPr>
          <w:rFonts w:ascii="Verdana" w:hAnsi="Verdana"/>
          <w:sz w:val="20"/>
          <w:szCs w:val="20"/>
        </w:rPr>
        <w:t xml:space="preserve"> debe</w:t>
      </w:r>
      <w:r w:rsidR="003C1B4F">
        <w:rPr>
          <w:rFonts w:ascii="Verdana" w:hAnsi="Verdana"/>
          <w:sz w:val="20"/>
          <w:szCs w:val="20"/>
        </w:rPr>
        <w:t>n</w:t>
      </w:r>
      <w:r w:rsidRPr="004F73C7">
        <w:rPr>
          <w:rFonts w:ascii="Verdana" w:hAnsi="Verdana"/>
          <w:sz w:val="20"/>
          <w:szCs w:val="20"/>
        </w:rPr>
        <w:t xml:space="preserve"> estar en capacidad de medir y proyectar los flujos de caja de sus activos, pasivos, posiciones fuera del balance, en diferentes horizontes de tiempo, tanto en un escenario normal como en un escenario adverso, en el que los flujos de caja se alejen significativamente de lo esperado por efecto de cambios imprevistos en los entornos de los mercados, de la entidad o de ambos.</w:t>
      </w:r>
    </w:p>
    <w:p w14:paraId="5A14FA46" w14:textId="6F708413" w:rsidR="00A0401E" w:rsidRPr="0086035E" w:rsidRDefault="00A0401E" w:rsidP="00A0401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5</w:t>
      </w:r>
      <w:r w:rsidR="002E3FFA">
        <w:rPr>
          <w:rFonts w:ascii="Verdana" w:hAnsi="Verdana"/>
          <w:sz w:val="20"/>
          <w:szCs w:val="20"/>
        </w:rPr>
        <w:t>7</w:t>
      </w:r>
      <w:r w:rsidRPr="0086035E">
        <w:rPr>
          <w:rFonts w:ascii="Verdana" w:hAnsi="Verdana"/>
          <w:sz w:val="20"/>
          <w:szCs w:val="20"/>
        </w:rPr>
        <w:t>.</w:t>
      </w:r>
    </w:p>
    <w:p w14:paraId="71D24357" w14:textId="3B7DFA9E" w:rsidR="00A0401E" w:rsidRDefault="009C18E9" w:rsidP="00A0401E">
      <w:pPr>
        <w:jc w:val="both"/>
        <w:rPr>
          <w:rFonts w:ascii="Verdana" w:hAnsi="Verdana"/>
          <w:sz w:val="20"/>
          <w:szCs w:val="20"/>
        </w:rPr>
      </w:pPr>
      <w:r w:rsidRPr="009C18E9">
        <w:rPr>
          <w:rFonts w:ascii="Verdana" w:hAnsi="Verdana"/>
          <w:sz w:val="20"/>
          <w:szCs w:val="20"/>
        </w:rPr>
        <w:t>Con independencia del modelo de medición que utilice para los propósitos de la gestión del riesgo, la entidad debe prever los escenarios que pueden poner a prueba su capacidad de generar recursos líquidos suficientes para atender una crisis de liquidez.</w:t>
      </w:r>
    </w:p>
    <w:p w14:paraId="7B76D899" w14:textId="4CBC0DEC" w:rsidR="009C18E9" w:rsidRPr="0086035E" w:rsidRDefault="009C18E9" w:rsidP="009C18E9">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58</w:t>
      </w:r>
      <w:r w:rsidRPr="0086035E">
        <w:rPr>
          <w:rFonts w:ascii="Verdana" w:hAnsi="Verdana"/>
          <w:sz w:val="20"/>
          <w:szCs w:val="20"/>
        </w:rPr>
        <w:t>.</w:t>
      </w:r>
    </w:p>
    <w:p w14:paraId="1960609E" w14:textId="11EA9242" w:rsidR="009C18E9" w:rsidRDefault="000567DA" w:rsidP="009C18E9">
      <w:pPr>
        <w:jc w:val="both"/>
        <w:rPr>
          <w:rFonts w:ascii="Verdana" w:hAnsi="Verdana"/>
          <w:sz w:val="20"/>
          <w:szCs w:val="20"/>
        </w:rPr>
      </w:pPr>
      <w:r w:rsidRPr="000567DA">
        <w:rPr>
          <w:rFonts w:ascii="Verdana" w:hAnsi="Verdana"/>
          <w:sz w:val="20"/>
          <w:szCs w:val="20"/>
        </w:rPr>
        <w:t>El modelo de medición debe considerar los costos, beneficios y riesgos de liquidez en los procesos de formación de precios, medición de resultados y aprobación de nuevos productos. Lo anterior, a fin de que los incentivos a la asunción de riesgos de las diferentes líneas de negocio concuerden con las exposiciones al riesgo de liquidez que sus actividades ocasionan a la entidad en su conjunto.</w:t>
      </w:r>
    </w:p>
    <w:p w14:paraId="7D0F2A24" w14:textId="77777777" w:rsidR="000567DA" w:rsidRPr="008D1A73" w:rsidRDefault="000567DA" w:rsidP="009C18E9">
      <w:pPr>
        <w:jc w:val="both"/>
        <w:rPr>
          <w:rFonts w:ascii="Verdana" w:hAnsi="Verdana"/>
          <w:sz w:val="20"/>
          <w:szCs w:val="20"/>
        </w:rPr>
      </w:pPr>
    </w:p>
    <w:p w14:paraId="53D9DABD" w14:textId="6EEFE7F7" w:rsidR="009C18E9" w:rsidRPr="0086035E" w:rsidRDefault="009C18E9" w:rsidP="009C18E9">
      <w:pPr>
        <w:spacing w:after="0"/>
        <w:jc w:val="both"/>
        <w:rPr>
          <w:rFonts w:ascii="Verdana" w:hAnsi="Verdana"/>
          <w:sz w:val="20"/>
          <w:szCs w:val="20"/>
        </w:rPr>
      </w:pPr>
      <w:r w:rsidRPr="0086035E">
        <w:rPr>
          <w:rFonts w:ascii="Verdana" w:hAnsi="Verdana"/>
          <w:sz w:val="20"/>
          <w:szCs w:val="20"/>
        </w:rPr>
        <w:lastRenderedPageBreak/>
        <w:t>1.1.</w:t>
      </w:r>
      <w:r>
        <w:rPr>
          <w:rFonts w:ascii="Verdana" w:hAnsi="Verdana"/>
          <w:sz w:val="20"/>
          <w:szCs w:val="20"/>
        </w:rPr>
        <w:t>2</w:t>
      </w:r>
      <w:r w:rsidRPr="0086035E">
        <w:rPr>
          <w:rFonts w:ascii="Verdana" w:hAnsi="Verdana"/>
          <w:sz w:val="20"/>
          <w:szCs w:val="20"/>
        </w:rPr>
        <w:t>.1</w:t>
      </w:r>
      <w:r>
        <w:rPr>
          <w:rFonts w:ascii="Verdana" w:hAnsi="Verdana"/>
          <w:sz w:val="20"/>
          <w:szCs w:val="20"/>
        </w:rPr>
        <w:t>59</w:t>
      </w:r>
      <w:r w:rsidRPr="0086035E">
        <w:rPr>
          <w:rFonts w:ascii="Verdana" w:hAnsi="Verdana"/>
          <w:sz w:val="20"/>
          <w:szCs w:val="20"/>
        </w:rPr>
        <w:t>.</w:t>
      </w:r>
    </w:p>
    <w:p w14:paraId="67A97247" w14:textId="0570597A" w:rsidR="009C18E9" w:rsidRPr="008D1A73" w:rsidRDefault="008E2CA9" w:rsidP="009C18E9">
      <w:pPr>
        <w:jc w:val="both"/>
        <w:rPr>
          <w:rFonts w:ascii="Verdana" w:hAnsi="Verdana"/>
          <w:sz w:val="20"/>
          <w:szCs w:val="20"/>
        </w:rPr>
      </w:pPr>
      <w:r w:rsidRPr="008E2CA9">
        <w:rPr>
          <w:rFonts w:ascii="Verdana" w:hAnsi="Verdana"/>
          <w:sz w:val="20"/>
          <w:szCs w:val="20"/>
        </w:rPr>
        <w:t>Adicionalmente, la</w:t>
      </w:r>
      <w:r w:rsidR="003C1B4F">
        <w:rPr>
          <w:rFonts w:ascii="Verdana" w:hAnsi="Verdana"/>
          <w:sz w:val="20"/>
          <w:szCs w:val="20"/>
        </w:rPr>
        <w:t>s</w:t>
      </w:r>
      <w:r w:rsidRPr="008E2CA9">
        <w:rPr>
          <w:rFonts w:ascii="Verdana" w:hAnsi="Verdana"/>
          <w:sz w:val="20"/>
          <w:szCs w:val="20"/>
        </w:rPr>
        <w:t xml:space="preserve"> entidad</w:t>
      </w:r>
      <w:r w:rsidR="003C1B4F">
        <w:rPr>
          <w:rFonts w:ascii="Verdana" w:hAnsi="Verdana"/>
          <w:sz w:val="20"/>
          <w:szCs w:val="20"/>
        </w:rPr>
        <w:t>es</w:t>
      </w:r>
      <w:r w:rsidRPr="008E2CA9">
        <w:rPr>
          <w:rFonts w:ascii="Verdana" w:hAnsi="Verdana"/>
          <w:sz w:val="20"/>
          <w:szCs w:val="20"/>
        </w:rPr>
        <w:t xml:space="preserve"> debe</w:t>
      </w:r>
      <w:r w:rsidR="003C1B4F">
        <w:rPr>
          <w:rFonts w:ascii="Verdana" w:hAnsi="Verdana"/>
          <w:sz w:val="20"/>
          <w:szCs w:val="20"/>
        </w:rPr>
        <w:t>n</w:t>
      </w:r>
      <w:r w:rsidRPr="008E2CA9">
        <w:rPr>
          <w:rFonts w:ascii="Verdana" w:hAnsi="Verdana"/>
          <w:sz w:val="20"/>
          <w:szCs w:val="20"/>
        </w:rPr>
        <w:t xml:space="preserve"> aplicar metodologías para la medición del riesgo de liquidez, teniendo en cuenta los requerimientos que se establecen a continuación para cada tipo de entidad.</w:t>
      </w:r>
    </w:p>
    <w:p w14:paraId="4F744E28" w14:textId="02DE5397" w:rsidR="00D27C0C" w:rsidRPr="00CF48B0" w:rsidRDefault="00463855" w:rsidP="00CF48B0">
      <w:pPr>
        <w:pStyle w:val="Prrafodelista"/>
        <w:numPr>
          <w:ilvl w:val="1"/>
          <w:numId w:val="2"/>
        </w:numPr>
        <w:ind w:left="567" w:hanging="283"/>
        <w:jc w:val="both"/>
        <w:rPr>
          <w:rFonts w:ascii="Verdana" w:hAnsi="Verdana"/>
          <w:b/>
          <w:bCs/>
          <w:sz w:val="20"/>
          <w:szCs w:val="20"/>
        </w:rPr>
      </w:pPr>
      <w:r w:rsidRPr="00CF48B0">
        <w:rPr>
          <w:rFonts w:ascii="Verdana" w:hAnsi="Verdana"/>
          <w:b/>
          <w:bCs/>
          <w:sz w:val="20"/>
          <w:szCs w:val="20"/>
        </w:rPr>
        <w:t>EC, organismos cooperativos de grado superior, Bancóldex, Findeter y Finagro</w:t>
      </w:r>
    </w:p>
    <w:p w14:paraId="20D61802" w14:textId="18271DD9" w:rsidR="00971AAA" w:rsidRPr="0086035E" w:rsidRDefault="00971AAA"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364218">
        <w:rPr>
          <w:rFonts w:ascii="Verdana" w:hAnsi="Verdana"/>
          <w:sz w:val="20"/>
          <w:szCs w:val="20"/>
        </w:rPr>
        <w:t>60</w:t>
      </w:r>
      <w:r w:rsidRPr="0086035E">
        <w:rPr>
          <w:rFonts w:ascii="Verdana" w:hAnsi="Verdana"/>
          <w:sz w:val="20"/>
          <w:szCs w:val="20"/>
        </w:rPr>
        <w:t>.</w:t>
      </w:r>
    </w:p>
    <w:p w14:paraId="19995C24" w14:textId="77777777" w:rsidR="00D27C0C" w:rsidRDefault="00660FAF" w:rsidP="00D27C0C">
      <w:pPr>
        <w:jc w:val="both"/>
        <w:rPr>
          <w:rFonts w:ascii="Verdana" w:hAnsi="Verdana"/>
          <w:sz w:val="20"/>
          <w:szCs w:val="20"/>
        </w:rPr>
      </w:pPr>
      <w:r>
        <w:rPr>
          <w:rFonts w:ascii="Verdana" w:hAnsi="Verdana"/>
          <w:sz w:val="20"/>
          <w:szCs w:val="20"/>
        </w:rPr>
        <w:t xml:space="preserve">Los </w:t>
      </w:r>
      <w:r w:rsidRPr="00660FAF">
        <w:rPr>
          <w:rFonts w:ascii="Verdana" w:hAnsi="Verdana"/>
          <w:sz w:val="20"/>
          <w:szCs w:val="20"/>
        </w:rPr>
        <w:t>EC, organismos cooperativos de grado superior, Bancóldex, Findeter y Finagro</w:t>
      </w:r>
      <w:r w:rsidR="004F19CC">
        <w:rPr>
          <w:rFonts w:ascii="Verdana" w:hAnsi="Verdana"/>
          <w:sz w:val="20"/>
          <w:szCs w:val="20"/>
        </w:rPr>
        <w:t xml:space="preserve"> d</w:t>
      </w:r>
      <w:r w:rsidR="004F19CC" w:rsidRPr="004F19CC">
        <w:rPr>
          <w:rFonts w:ascii="Verdana" w:hAnsi="Verdana"/>
          <w:sz w:val="20"/>
          <w:szCs w:val="20"/>
        </w:rPr>
        <w:t>eben diseñar e implementar modelos internos para la medición del riesgo de liquidez, incluyendo:</w:t>
      </w:r>
    </w:p>
    <w:p w14:paraId="24851319" w14:textId="77777777" w:rsidR="00D27C0C" w:rsidRDefault="00D27C0C" w:rsidP="00D27C0C">
      <w:pPr>
        <w:pStyle w:val="Prrafodelista"/>
        <w:numPr>
          <w:ilvl w:val="0"/>
          <w:numId w:val="59"/>
        </w:numPr>
        <w:ind w:left="567" w:hanging="567"/>
        <w:jc w:val="both"/>
        <w:rPr>
          <w:rFonts w:ascii="Verdana" w:hAnsi="Verdana"/>
          <w:sz w:val="20"/>
          <w:szCs w:val="20"/>
        </w:rPr>
      </w:pPr>
      <w:r w:rsidRPr="00D27C0C">
        <w:rPr>
          <w:rFonts w:ascii="Verdana" w:hAnsi="Verdana"/>
          <w:sz w:val="20"/>
          <w:szCs w:val="20"/>
        </w:rPr>
        <w:t xml:space="preserve">El diseño de un indicador de riesgo de liquidez para las bandas de tiempo comprendidas desde uno hasta 30 días. </w:t>
      </w:r>
    </w:p>
    <w:p w14:paraId="7F221437" w14:textId="77777777" w:rsidR="00D27C0C" w:rsidRDefault="00D27C0C" w:rsidP="00D27C0C">
      <w:pPr>
        <w:pStyle w:val="Prrafodelista"/>
        <w:ind w:left="567"/>
        <w:jc w:val="both"/>
        <w:rPr>
          <w:rFonts w:ascii="Verdana" w:hAnsi="Verdana"/>
          <w:sz w:val="20"/>
          <w:szCs w:val="20"/>
        </w:rPr>
      </w:pPr>
    </w:p>
    <w:p w14:paraId="2DBBD99B" w14:textId="77777777" w:rsidR="00D27C0C" w:rsidRDefault="00D27C0C" w:rsidP="00D27C0C">
      <w:pPr>
        <w:pStyle w:val="Prrafodelista"/>
        <w:numPr>
          <w:ilvl w:val="0"/>
          <w:numId w:val="59"/>
        </w:numPr>
        <w:ind w:left="567" w:hanging="567"/>
        <w:jc w:val="both"/>
        <w:rPr>
          <w:rFonts w:ascii="Verdana" w:hAnsi="Verdana"/>
          <w:sz w:val="20"/>
          <w:szCs w:val="20"/>
        </w:rPr>
      </w:pPr>
      <w:r w:rsidRPr="00D27C0C">
        <w:rPr>
          <w:rFonts w:ascii="Verdana" w:hAnsi="Verdana"/>
          <w:sz w:val="20"/>
          <w:szCs w:val="20"/>
        </w:rPr>
        <w:t>El establecimiento de límites prudenciales para tal indicador, que la respectiva entidad se obligue a cumplir.</w:t>
      </w:r>
    </w:p>
    <w:p w14:paraId="1A97D19F" w14:textId="77777777" w:rsidR="00D27C0C" w:rsidRPr="00D27C0C" w:rsidRDefault="00D27C0C" w:rsidP="00D27C0C">
      <w:pPr>
        <w:pStyle w:val="Prrafodelista"/>
        <w:rPr>
          <w:rFonts w:ascii="Verdana" w:hAnsi="Verdana"/>
          <w:sz w:val="20"/>
          <w:szCs w:val="20"/>
        </w:rPr>
      </w:pPr>
    </w:p>
    <w:p w14:paraId="66AFD73C" w14:textId="22F50B36" w:rsidR="004F19CC" w:rsidRPr="00D27C0C" w:rsidRDefault="00D27C0C" w:rsidP="00D27C0C">
      <w:pPr>
        <w:pStyle w:val="Prrafodelista"/>
        <w:numPr>
          <w:ilvl w:val="0"/>
          <w:numId w:val="59"/>
        </w:numPr>
        <w:ind w:left="567" w:hanging="567"/>
        <w:jc w:val="both"/>
        <w:rPr>
          <w:rFonts w:ascii="Verdana" w:hAnsi="Verdana"/>
          <w:sz w:val="20"/>
          <w:szCs w:val="20"/>
        </w:rPr>
      </w:pPr>
      <w:r w:rsidRPr="00D27C0C">
        <w:rPr>
          <w:rFonts w:ascii="Verdana" w:hAnsi="Verdana"/>
          <w:sz w:val="20"/>
          <w:szCs w:val="20"/>
        </w:rPr>
        <w:t>El diseño de flujos de caja que permitan identificar los descalces materiales para la entidad.</w:t>
      </w:r>
    </w:p>
    <w:p w14:paraId="1F253777" w14:textId="3653019F" w:rsidR="00971AAA" w:rsidRPr="0086035E" w:rsidRDefault="00971AAA" w:rsidP="00766C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364218">
        <w:rPr>
          <w:rFonts w:ascii="Verdana" w:hAnsi="Verdana"/>
          <w:sz w:val="20"/>
          <w:szCs w:val="20"/>
        </w:rPr>
        <w:t>61</w:t>
      </w:r>
      <w:r w:rsidRPr="0086035E">
        <w:rPr>
          <w:rFonts w:ascii="Verdana" w:hAnsi="Verdana"/>
          <w:sz w:val="20"/>
          <w:szCs w:val="20"/>
        </w:rPr>
        <w:t>.</w:t>
      </w:r>
    </w:p>
    <w:p w14:paraId="71CDA319" w14:textId="6FB4DC04" w:rsidR="00971AAA" w:rsidRDefault="00504334" w:rsidP="00766CA6">
      <w:pPr>
        <w:jc w:val="both"/>
        <w:rPr>
          <w:rFonts w:ascii="Verdana" w:hAnsi="Verdana"/>
          <w:sz w:val="20"/>
          <w:szCs w:val="20"/>
        </w:rPr>
      </w:pPr>
      <w:r w:rsidRPr="00504334">
        <w:rPr>
          <w:rFonts w:ascii="Verdana" w:hAnsi="Verdana"/>
          <w:sz w:val="20"/>
          <w:szCs w:val="20"/>
        </w:rPr>
        <w:t xml:space="preserve">Los modelos </w:t>
      </w:r>
      <w:r w:rsidR="009A6FE9">
        <w:rPr>
          <w:rFonts w:ascii="Verdana" w:hAnsi="Verdana"/>
          <w:sz w:val="20"/>
          <w:szCs w:val="20"/>
        </w:rPr>
        <w:t>internos</w:t>
      </w:r>
      <w:r w:rsidRPr="00504334">
        <w:rPr>
          <w:rFonts w:ascii="Verdana" w:hAnsi="Verdana"/>
          <w:sz w:val="20"/>
          <w:szCs w:val="20"/>
        </w:rPr>
        <w:t xml:space="preserve"> </w:t>
      </w:r>
      <w:r w:rsidR="006C6025">
        <w:rPr>
          <w:rFonts w:ascii="Verdana" w:hAnsi="Verdana"/>
          <w:sz w:val="20"/>
          <w:szCs w:val="20"/>
        </w:rPr>
        <w:t xml:space="preserve">se </w:t>
      </w:r>
      <w:r w:rsidRPr="00504334">
        <w:rPr>
          <w:rFonts w:ascii="Verdana" w:hAnsi="Verdana"/>
          <w:sz w:val="20"/>
          <w:szCs w:val="20"/>
        </w:rPr>
        <w:t>deben diseñar atendiendo los requisitos mínimos señalados en</w:t>
      </w:r>
      <w:r w:rsidR="00565929">
        <w:rPr>
          <w:rFonts w:ascii="Verdana" w:hAnsi="Verdana"/>
          <w:sz w:val="20"/>
          <w:szCs w:val="20"/>
        </w:rPr>
        <w:t>tre los párrafos 1.1.2.</w:t>
      </w:r>
      <w:r w:rsidR="001E0EA7">
        <w:rPr>
          <w:rFonts w:ascii="Verdana" w:hAnsi="Verdana"/>
          <w:sz w:val="20"/>
          <w:szCs w:val="20"/>
        </w:rPr>
        <w:t>173. y 1.1.2.179</w:t>
      </w:r>
      <w:r w:rsidRPr="00504334">
        <w:rPr>
          <w:rFonts w:ascii="Verdana" w:hAnsi="Verdana"/>
          <w:sz w:val="20"/>
          <w:szCs w:val="20"/>
        </w:rPr>
        <w:t>. Los resultados obtenidos, y en general toda la documentación sobre los parámetros, supuestos, construcción y funcionamiento del modelo, deben estar a disposición de la SFC</w:t>
      </w:r>
      <w:r>
        <w:rPr>
          <w:rFonts w:ascii="Verdana" w:hAnsi="Verdana"/>
          <w:sz w:val="20"/>
          <w:szCs w:val="20"/>
        </w:rPr>
        <w:t>.</w:t>
      </w:r>
    </w:p>
    <w:p w14:paraId="4C302514" w14:textId="413231EC" w:rsidR="00364218" w:rsidRPr="0086035E" w:rsidRDefault="00364218" w:rsidP="00364218">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6</w:t>
      </w:r>
      <w:r w:rsidR="00506CBE">
        <w:rPr>
          <w:rFonts w:ascii="Verdana" w:hAnsi="Verdana"/>
          <w:sz w:val="20"/>
          <w:szCs w:val="20"/>
        </w:rPr>
        <w:t>2</w:t>
      </w:r>
      <w:r w:rsidRPr="0086035E">
        <w:rPr>
          <w:rFonts w:ascii="Verdana" w:hAnsi="Verdana"/>
          <w:sz w:val="20"/>
          <w:szCs w:val="20"/>
        </w:rPr>
        <w:t>.</w:t>
      </w:r>
    </w:p>
    <w:p w14:paraId="46226C60" w14:textId="36BF5F9B" w:rsidR="009375D6" w:rsidRPr="008D1A73" w:rsidRDefault="00A6123C" w:rsidP="009375D6">
      <w:pPr>
        <w:jc w:val="both"/>
        <w:rPr>
          <w:rFonts w:ascii="Verdana" w:hAnsi="Verdana"/>
          <w:sz w:val="20"/>
          <w:szCs w:val="20"/>
        </w:rPr>
      </w:pPr>
      <w:r w:rsidRPr="00A6123C">
        <w:rPr>
          <w:rFonts w:ascii="Verdana" w:hAnsi="Verdana"/>
          <w:sz w:val="20"/>
          <w:szCs w:val="20"/>
        </w:rPr>
        <w:t xml:space="preserve">Adicionalmente deben implementar el modelo estándar de medición del riesgo de liquidez, reportar el resultado de la medición y cumplir los límites y medidas establecidos por la SFC, de acuerdo con las instrucciones señaladas en la </w:t>
      </w:r>
      <w:r w:rsidR="00C861DB">
        <w:rPr>
          <w:rFonts w:ascii="Verdana" w:hAnsi="Verdana"/>
          <w:sz w:val="20"/>
          <w:szCs w:val="20"/>
        </w:rPr>
        <w:t>sección 3</w:t>
      </w:r>
      <w:r w:rsidRPr="00A6123C">
        <w:rPr>
          <w:rFonts w:ascii="Verdana" w:hAnsi="Verdana"/>
          <w:sz w:val="20"/>
          <w:szCs w:val="20"/>
        </w:rPr>
        <w:t xml:space="preserve"> del presente </w:t>
      </w:r>
      <w:r w:rsidR="00C861DB">
        <w:rPr>
          <w:rFonts w:ascii="Verdana" w:hAnsi="Verdana"/>
          <w:sz w:val="20"/>
          <w:szCs w:val="20"/>
        </w:rPr>
        <w:t>c</w:t>
      </w:r>
      <w:r w:rsidRPr="00A6123C">
        <w:rPr>
          <w:rFonts w:ascii="Verdana" w:hAnsi="Verdana"/>
          <w:sz w:val="20"/>
          <w:szCs w:val="20"/>
        </w:rPr>
        <w:t>apítulo.</w:t>
      </w:r>
    </w:p>
    <w:p w14:paraId="31A47F75" w14:textId="576DC2EC" w:rsidR="009375D6" w:rsidRPr="00CF48B0" w:rsidRDefault="009375D6" w:rsidP="009375D6">
      <w:pPr>
        <w:pStyle w:val="Prrafodelista"/>
        <w:numPr>
          <w:ilvl w:val="1"/>
          <w:numId w:val="2"/>
        </w:numPr>
        <w:ind w:left="567" w:hanging="283"/>
        <w:jc w:val="both"/>
        <w:rPr>
          <w:rFonts w:ascii="Verdana" w:hAnsi="Verdana"/>
          <w:b/>
          <w:bCs/>
          <w:sz w:val="20"/>
          <w:szCs w:val="20"/>
        </w:rPr>
      </w:pPr>
      <w:r w:rsidRPr="009375D6">
        <w:rPr>
          <w:rFonts w:ascii="Verdana" w:hAnsi="Verdana"/>
          <w:b/>
          <w:bCs/>
          <w:sz w:val="20"/>
          <w:szCs w:val="20"/>
        </w:rPr>
        <w:t>SF, entidades que administren FIC, fondos o patrimonios autónomos distintos a los de seguridad social, FDN, FNA, FNG y la Caja Promotora de Vivienda Militar y de Policía</w:t>
      </w:r>
    </w:p>
    <w:p w14:paraId="0DE87305" w14:textId="29F8EFC6" w:rsidR="006A4FD4" w:rsidRPr="006A4FD4" w:rsidRDefault="006A4FD4" w:rsidP="006A4FD4">
      <w:pPr>
        <w:spacing w:after="0"/>
        <w:jc w:val="both"/>
        <w:rPr>
          <w:rFonts w:ascii="Verdana" w:hAnsi="Verdana"/>
          <w:sz w:val="20"/>
          <w:szCs w:val="20"/>
        </w:rPr>
      </w:pPr>
      <w:r w:rsidRPr="006A4FD4">
        <w:rPr>
          <w:rFonts w:ascii="Verdana" w:hAnsi="Verdana"/>
          <w:sz w:val="20"/>
          <w:szCs w:val="20"/>
        </w:rPr>
        <w:t>1.1.2.16</w:t>
      </w:r>
      <w:r w:rsidR="0084664B">
        <w:rPr>
          <w:rFonts w:ascii="Verdana" w:hAnsi="Verdana"/>
          <w:sz w:val="20"/>
          <w:szCs w:val="20"/>
        </w:rPr>
        <w:t>3</w:t>
      </w:r>
      <w:r w:rsidRPr="006A4FD4">
        <w:rPr>
          <w:rFonts w:ascii="Verdana" w:hAnsi="Verdana"/>
          <w:sz w:val="20"/>
          <w:szCs w:val="20"/>
        </w:rPr>
        <w:t>.</w:t>
      </w:r>
    </w:p>
    <w:p w14:paraId="1349EE10" w14:textId="1CDF3B58" w:rsidR="006A4FD4" w:rsidRDefault="006A4FD4" w:rsidP="00364218">
      <w:pPr>
        <w:jc w:val="both"/>
        <w:rPr>
          <w:rFonts w:ascii="Verdana" w:hAnsi="Verdana"/>
          <w:sz w:val="20"/>
          <w:szCs w:val="20"/>
        </w:rPr>
      </w:pPr>
      <w:r w:rsidRPr="006A4FD4">
        <w:rPr>
          <w:rFonts w:ascii="Verdana" w:hAnsi="Verdana"/>
          <w:sz w:val="20"/>
          <w:szCs w:val="20"/>
        </w:rPr>
        <w:t>L</w:t>
      </w:r>
      <w:r w:rsidR="00D82DF2">
        <w:rPr>
          <w:rFonts w:ascii="Verdana" w:hAnsi="Verdana"/>
          <w:sz w:val="20"/>
          <w:szCs w:val="20"/>
        </w:rPr>
        <w:t xml:space="preserve">as </w:t>
      </w:r>
      <w:r w:rsidR="00D82DF2" w:rsidRPr="00D82DF2">
        <w:rPr>
          <w:rFonts w:ascii="Verdana" w:hAnsi="Verdana"/>
          <w:sz w:val="20"/>
          <w:szCs w:val="20"/>
        </w:rPr>
        <w:t>SF, entidades que administren FIC, fondos o patrimonios autónomos distintos a los de seguridad social, FDN, FNA, FNG y la Caja Promotora de Vivienda Militar y de Policía</w:t>
      </w:r>
      <w:r w:rsidR="00D82DF2">
        <w:rPr>
          <w:rFonts w:ascii="Verdana" w:hAnsi="Verdana"/>
          <w:sz w:val="20"/>
          <w:szCs w:val="20"/>
        </w:rPr>
        <w:t xml:space="preserve"> </w:t>
      </w:r>
      <w:r>
        <w:rPr>
          <w:rFonts w:ascii="Verdana" w:hAnsi="Verdana"/>
          <w:sz w:val="20"/>
          <w:szCs w:val="20"/>
        </w:rPr>
        <w:t>d</w:t>
      </w:r>
      <w:r w:rsidRPr="006A4FD4">
        <w:rPr>
          <w:rFonts w:ascii="Verdana" w:hAnsi="Verdana"/>
          <w:sz w:val="20"/>
          <w:szCs w:val="20"/>
        </w:rPr>
        <w:t>eben diseñar y aplicar modelos internos para la medición del riesgo de liquidez</w:t>
      </w:r>
      <w:r w:rsidR="00FD1D25">
        <w:rPr>
          <w:rFonts w:ascii="Verdana" w:hAnsi="Verdana"/>
          <w:sz w:val="20"/>
          <w:szCs w:val="20"/>
        </w:rPr>
        <w:t>,</w:t>
      </w:r>
      <w:r w:rsidRPr="006A4FD4">
        <w:rPr>
          <w:rFonts w:ascii="Verdana" w:hAnsi="Verdana"/>
          <w:sz w:val="20"/>
          <w:szCs w:val="20"/>
        </w:rPr>
        <w:t xml:space="preserve"> que contemplen tanto el riesgo derivado de los FIC y/o fondos o patrimonios autónomos y recursos de terceros que administren, </w:t>
      </w:r>
      <w:r w:rsidR="00A72FDD">
        <w:rPr>
          <w:rFonts w:ascii="Verdana" w:hAnsi="Verdana"/>
          <w:sz w:val="20"/>
          <w:szCs w:val="20"/>
        </w:rPr>
        <w:t xml:space="preserve">así </w:t>
      </w:r>
      <w:r w:rsidRPr="006A4FD4">
        <w:rPr>
          <w:rFonts w:ascii="Verdana" w:hAnsi="Verdana"/>
          <w:sz w:val="20"/>
          <w:szCs w:val="20"/>
        </w:rPr>
        <w:t xml:space="preserve">como el riesgo de liquidez derivado de las líneas de negocios desarrolladas con sus propios recursos. Tales modelos deben atender los requisitos mínimos señalados </w:t>
      </w:r>
      <w:r w:rsidR="003537A3" w:rsidRPr="00504334">
        <w:rPr>
          <w:rFonts w:ascii="Verdana" w:hAnsi="Verdana"/>
          <w:sz w:val="20"/>
          <w:szCs w:val="20"/>
        </w:rPr>
        <w:t>en</w:t>
      </w:r>
      <w:r w:rsidR="003537A3">
        <w:rPr>
          <w:rFonts w:ascii="Verdana" w:hAnsi="Verdana"/>
          <w:sz w:val="20"/>
          <w:szCs w:val="20"/>
        </w:rPr>
        <w:t>tre los párrafos 1.1.2.173. y 1.1.2.179</w:t>
      </w:r>
      <w:r w:rsidR="003537A3" w:rsidRPr="00504334">
        <w:rPr>
          <w:rFonts w:ascii="Verdana" w:hAnsi="Verdana"/>
          <w:sz w:val="20"/>
          <w:szCs w:val="20"/>
        </w:rPr>
        <w:t>.</w:t>
      </w:r>
      <w:r w:rsidR="00A119D1">
        <w:rPr>
          <w:rFonts w:ascii="Verdana" w:hAnsi="Verdana"/>
          <w:sz w:val="20"/>
          <w:szCs w:val="20"/>
        </w:rPr>
        <w:t xml:space="preserve"> y, para el caso de los patrimonios autónomos, debe considerar las condiciones contractuales de retiro de recursos o redenciones </w:t>
      </w:r>
      <w:r w:rsidR="00FD0C4F">
        <w:rPr>
          <w:rFonts w:ascii="Verdana" w:hAnsi="Verdana"/>
          <w:sz w:val="20"/>
          <w:szCs w:val="20"/>
        </w:rPr>
        <w:t>definidas</w:t>
      </w:r>
      <w:r w:rsidR="00A119D1">
        <w:rPr>
          <w:rFonts w:ascii="Verdana" w:hAnsi="Verdana"/>
          <w:sz w:val="20"/>
          <w:szCs w:val="20"/>
        </w:rPr>
        <w:t xml:space="preserve"> por las partes. </w:t>
      </w:r>
    </w:p>
    <w:p w14:paraId="4ED27EB4" w14:textId="464DF365" w:rsidR="00364218" w:rsidRPr="0086035E" w:rsidRDefault="00364218" w:rsidP="00364218">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6</w:t>
      </w:r>
      <w:r w:rsidR="00506CBE">
        <w:rPr>
          <w:rFonts w:ascii="Verdana" w:hAnsi="Verdana"/>
          <w:sz w:val="20"/>
          <w:szCs w:val="20"/>
        </w:rPr>
        <w:t>4</w:t>
      </w:r>
      <w:r w:rsidRPr="0086035E">
        <w:rPr>
          <w:rFonts w:ascii="Verdana" w:hAnsi="Verdana"/>
          <w:sz w:val="20"/>
          <w:szCs w:val="20"/>
        </w:rPr>
        <w:t>.</w:t>
      </w:r>
    </w:p>
    <w:p w14:paraId="7C538D76" w14:textId="1B7A6902" w:rsidR="00364218" w:rsidRPr="00007259" w:rsidRDefault="00027ABD" w:rsidP="00364218">
      <w:pPr>
        <w:jc w:val="both"/>
        <w:rPr>
          <w:rFonts w:ascii="Verdana" w:hAnsi="Verdana"/>
          <w:sz w:val="20"/>
          <w:szCs w:val="20"/>
        </w:rPr>
      </w:pPr>
      <w:r w:rsidRPr="00027ABD">
        <w:rPr>
          <w:rFonts w:ascii="Verdana" w:hAnsi="Verdana"/>
          <w:sz w:val="20"/>
          <w:szCs w:val="20"/>
        </w:rPr>
        <w:t xml:space="preserve">Los modelos internos mencionados deben presentarse ante la SFC con el fin de obtener un pronunciamiento de no objeción de acuerdo con las instrucciones establecidas en la </w:t>
      </w:r>
      <w:r w:rsidR="00D576FC">
        <w:rPr>
          <w:rFonts w:ascii="Verdana" w:hAnsi="Verdana"/>
          <w:sz w:val="20"/>
          <w:szCs w:val="20"/>
        </w:rPr>
        <w:t>sección 3 del presente capítulo</w:t>
      </w:r>
      <w:r w:rsidRPr="00027ABD">
        <w:rPr>
          <w:rFonts w:ascii="Verdana" w:hAnsi="Verdana"/>
          <w:sz w:val="20"/>
          <w:szCs w:val="20"/>
        </w:rPr>
        <w:t xml:space="preserve"> en materia de riesgo de liquidez. Lo anterior, con excepción de los modelos internos diseñados por las entidades para la administración del riesgo de liquidez de los FIC abiertos sin pacto de permanencia.</w:t>
      </w:r>
      <w:r w:rsidR="003A6E40">
        <w:rPr>
          <w:rFonts w:ascii="Verdana" w:hAnsi="Verdana"/>
          <w:sz w:val="20"/>
          <w:szCs w:val="20"/>
        </w:rPr>
        <w:t xml:space="preserve"> </w:t>
      </w:r>
    </w:p>
    <w:p w14:paraId="2C66F269" w14:textId="270F786F" w:rsidR="00364218" w:rsidRPr="0086035E" w:rsidRDefault="00364218" w:rsidP="00364218">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6</w:t>
      </w:r>
      <w:r w:rsidR="00506CBE">
        <w:rPr>
          <w:rFonts w:ascii="Verdana" w:hAnsi="Verdana"/>
          <w:sz w:val="20"/>
          <w:szCs w:val="20"/>
        </w:rPr>
        <w:t>5</w:t>
      </w:r>
      <w:r w:rsidRPr="0086035E">
        <w:rPr>
          <w:rFonts w:ascii="Verdana" w:hAnsi="Verdana"/>
          <w:sz w:val="20"/>
          <w:szCs w:val="20"/>
        </w:rPr>
        <w:t>.</w:t>
      </w:r>
    </w:p>
    <w:p w14:paraId="046E7A71" w14:textId="12B352A9" w:rsidR="00364218" w:rsidRPr="00007259" w:rsidRDefault="00A52B86" w:rsidP="00364218">
      <w:pPr>
        <w:jc w:val="both"/>
        <w:rPr>
          <w:rFonts w:ascii="Verdana" w:hAnsi="Verdana"/>
          <w:sz w:val="20"/>
          <w:szCs w:val="20"/>
        </w:rPr>
      </w:pPr>
      <w:r w:rsidRPr="00A52B86">
        <w:rPr>
          <w:rFonts w:ascii="Verdana" w:hAnsi="Verdana"/>
          <w:sz w:val="20"/>
          <w:szCs w:val="20"/>
        </w:rPr>
        <w:t xml:space="preserve">Las administradoras de los FIC abiertos sin pacto de permanencia deben implementar el modelo estándar de medición del riesgo de liquidez, reportar el resultado de la medición y dar cumplimiento a los límites y medidas establecidos por la SFC, de acuerdo con las instrucciones señaladas en la </w:t>
      </w:r>
      <w:r w:rsidR="008A4E51">
        <w:rPr>
          <w:rFonts w:ascii="Verdana" w:hAnsi="Verdana"/>
          <w:sz w:val="20"/>
          <w:szCs w:val="20"/>
        </w:rPr>
        <w:t>sección 3 del presente capítulo</w:t>
      </w:r>
      <w:r w:rsidRPr="00A52B86">
        <w:rPr>
          <w:rFonts w:ascii="Verdana" w:hAnsi="Verdana"/>
          <w:sz w:val="20"/>
          <w:szCs w:val="20"/>
        </w:rPr>
        <w:t>.</w:t>
      </w:r>
    </w:p>
    <w:p w14:paraId="13C8209D" w14:textId="37C97F15" w:rsidR="007B256A" w:rsidRPr="0086035E" w:rsidRDefault="007B256A" w:rsidP="007B256A">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66</w:t>
      </w:r>
      <w:r w:rsidRPr="0086035E">
        <w:rPr>
          <w:rFonts w:ascii="Verdana" w:hAnsi="Verdana"/>
          <w:sz w:val="20"/>
          <w:szCs w:val="20"/>
        </w:rPr>
        <w:t>.</w:t>
      </w:r>
    </w:p>
    <w:p w14:paraId="3FA48DE5" w14:textId="356128A1" w:rsidR="00087208" w:rsidRPr="008D1A73" w:rsidRDefault="00AB0893" w:rsidP="00087208">
      <w:pPr>
        <w:jc w:val="both"/>
        <w:rPr>
          <w:rFonts w:ascii="Verdana" w:hAnsi="Verdana"/>
          <w:sz w:val="20"/>
          <w:szCs w:val="20"/>
        </w:rPr>
      </w:pPr>
      <w:r w:rsidRPr="00AB0893">
        <w:rPr>
          <w:rFonts w:ascii="Verdana" w:hAnsi="Verdana"/>
          <w:sz w:val="20"/>
          <w:szCs w:val="20"/>
        </w:rPr>
        <w:t xml:space="preserve">En todo caso, para efectos del monitoreo homogéneo y permanente de la SFC, las administradoras de los FIC abiertos sin pacto de permanencia deben: realizar diariamente la medición del riesgo de liquidez, dar cumplimiento a los límites establecidos para cada categoría de FIC y reportar dicha información semanalmente en </w:t>
      </w:r>
      <w:r w:rsidRPr="00AB0893">
        <w:rPr>
          <w:rFonts w:ascii="Verdana" w:hAnsi="Verdana"/>
          <w:sz w:val="20"/>
          <w:szCs w:val="20"/>
        </w:rPr>
        <w:lastRenderedPageBreak/>
        <w:t xml:space="preserve">el correspondiente formato, de acuerdo con las instrucciones señaladas en el </w:t>
      </w:r>
      <w:r w:rsidR="008A4E51">
        <w:rPr>
          <w:rFonts w:ascii="Verdana" w:hAnsi="Verdana"/>
          <w:sz w:val="20"/>
          <w:szCs w:val="20"/>
        </w:rPr>
        <w:t>a</w:t>
      </w:r>
      <w:r w:rsidRPr="00AB0893">
        <w:rPr>
          <w:rFonts w:ascii="Verdana" w:hAnsi="Verdana"/>
          <w:sz w:val="20"/>
          <w:szCs w:val="20"/>
        </w:rPr>
        <w:t xml:space="preserve">nexo 11 del presente </w:t>
      </w:r>
      <w:r w:rsidR="008A4E51">
        <w:rPr>
          <w:rFonts w:ascii="Verdana" w:hAnsi="Verdana"/>
          <w:sz w:val="20"/>
          <w:szCs w:val="20"/>
        </w:rPr>
        <w:t>c</w:t>
      </w:r>
      <w:r w:rsidRPr="00AB0893">
        <w:rPr>
          <w:rFonts w:ascii="Verdana" w:hAnsi="Verdana"/>
          <w:sz w:val="20"/>
          <w:szCs w:val="20"/>
        </w:rPr>
        <w:t>apítulo.</w:t>
      </w:r>
    </w:p>
    <w:p w14:paraId="26E46BC0" w14:textId="3B830970" w:rsidR="00087208" w:rsidRDefault="001A7C13" w:rsidP="00087208">
      <w:pPr>
        <w:pStyle w:val="Prrafodelista"/>
        <w:numPr>
          <w:ilvl w:val="1"/>
          <w:numId w:val="2"/>
        </w:numPr>
        <w:ind w:left="567" w:hanging="283"/>
        <w:jc w:val="both"/>
        <w:rPr>
          <w:rFonts w:ascii="Verdana" w:hAnsi="Verdana"/>
          <w:b/>
          <w:bCs/>
          <w:sz w:val="20"/>
          <w:szCs w:val="20"/>
        </w:rPr>
      </w:pPr>
      <w:r w:rsidRPr="001A7C13">
        <w:rPr>
          <w:rFonts w:ascii="Verdana" w:hAnsi="Verdana"/>
          <w:b/>
          <w:bCs/>
          <w:sz w:val="20"/>
          <w:szCs w:val="20"/>
        </w:rPr>
        <w:t>ICETEX, FOGAFIN, FONADE y FOGACOOP</w:t>
      </w:r>
    </w:p>
    <w:p w14:paraId="24066B42" w14:textId="7F94E264" w:rsidR="00087208" w:rsidRPr="006A4FD4" w:rsidRDefault="00087208" w:rsidP="00087208">
      <w:pPr>
        <w:spacing w:after="0"/>
        <w:jc w:val="both"/>
        <w:rPr>
          <w:rFonts w:ascii="Verdana" w:hAnsi="Verdana"/>
          <w:sz w:val="20"/>
          <w:szCs w:val="20"/>
        </w:rPr>
      </w:pPr>
      <w:r w:rsidRPr="006A4FD4">
        <w:rPr>
          <w:rFonts w:ascii="Verdana" w:hAnsi="Verdana"/>
          <w:sz w:val="20"/>
          <w:szCs w:val="20"/>
        </w:rPr>
        <w:t>1.1.2.16</w:t>
      </w:r>
      <w:r w:rsidR="009F6F22">
        <w:rPr>
          <w:rFonts w:ascii="Verdana" w:hAnsi="Verdana"/>
          <w:sz w:val="20"/>
          <w:szCs w:val="20"/>
        </w:rPr>
        <w:t>7</w:t>
      </w:r>
      <w:r w:rsidRPr="006A4FD4">
        <w:rPr>
          <w:rFonts w:ascii="Verdana" w:hAnsi="Verdana"/>
          <w:sz w:val="20"/>
          <w:szCs w:val="20"/>
        </w:rPr>
        <w:t>.</w:t>
      </w:r>
    </w:p>
    <w:p w14:paraId="254D99E5" w14:textId="2411BB70" w:rsidR="00087208" w:rsidRDefault="00604F4B" w:rsidP="00604F4B">
      <w:pPr>
        <w:jc w:val="both"/>
        <w:rPr>
          <w:rFonts w:ascii="Verdana" w:hAnsi="Verdana"/>
          <w:sz w:val="20"/>
          <w:szCs w:val="20"/>
        </w:rPr>
      </w:pPr>
      <w:r>
        <w:rPr>
          <w:rFonts w:ascii="Verdana" w:hAnsi="Verdana"/>
          <w:sz w:val="20"/>
          <w:szCs w:val="20"/>
        </w:rPr>
        <w:t xml:space="preserve">El </w:t>
      </w:r>
      <w:r w:rsidRPr="00604F4B">
        <w:rPr>
          <w:rFonts w:ascii="Verdana" w:hAnsi="Verdana"/>
          <w:sz w:val="20"/>
          <w:szCs w:val="20"/>
        </w:rPr>
        <w:t>ICETEX, FOGAFIN, FONADE y FOGACOOP</w:t>
      </w:r>
      <w:r w:rsidR="00087208" w:rsidRPr="00D82DF2">
        <w:rPr>
          <w:rFonts w:ascii="Verdana" w:hAnsi="Verdana"/>
          <w:sz w:val="20"/>
          <w:szCs w:val="20"/>
        </w:rPr>
        <w:t xml:space="preserve"> </w:t>
      </w:r>
      <w:r>
        <w:rPr>
          <w:rFonts w:ascii="Verdana" w:hAnsi="Verdana"/>
          <w:sz w:val="20"/>
          <w:szCs w:val="20"/>
        </w:rPr>
        <w:t>d</w:t>
      </w:r>
      <w:r w:rsidRPr="00604F4B">
        <w:rPr>
          <w:rFonts w:ascii="Verdana" w:hAnsi="Verdana"/>
          <w:sz w:val="20"/>
          <w:szCs w:val="20"/>
        </w:rPr>
        <w:t>eben contar con indicadores para la gestión del riesgo de liquidez y definir las necesidades de liquidez, de acuerdo con el tipo de negocio que desarrollen.</w:t>
      </w:r>
      <w:r>
        <w:rPr>
          <w:rFonts w:ascii="Verdana" w:hAnsi="Verdana"/>
          <w:sz w:val="20"/>
          <w:szCs w:val="20"/>
        </w:rPr>
        <w:t xml:space="preserve"> Igualmente, de</w:t>
      </w:r>
      <w:r w:rsidRPr="00604F4B">
        <w:rPr>
          <w:rFonts w:ascii="Verdana" w:hAnsi="Verdana"/>
          <w:sz w:val="20"/>
          <w:szCs w:val="20"/>
        </w:rPr>
        <w:t>ben hacer seguimiento periódico a dichos indicadores, mediante la JD.</w:t>
      </w:r>
    </w:p>
    <w:p w14:paraId="361642A2" w14:textId="52B53BF7" w:rsidR="007212DA" w:rsidRDefault="00C53A3B" w:rsidP="007212DA">
      <w:pPr>
        <w:pStyle w:val="Prrafodelista"/>
        <w:numPr>
          <w:ilvl w:val="1"/>
          <w:numId w:val="2"/>
        </w:numPr>
        <w:ind w:left="567" w:hanging="283"/>
        <w:jc w:val="both"/>
        <w:rPr>
          <w:rFonts w:ascii="Verdana" w:hAnsi="Verdana"/>
          <w:b/>
          <w:bCs/>
          <w:sz w:val="20"/>
          <w:szCs w:val="20"/>
        </w:rPr>
      </w:pPr>
      <w:r>
        <w:rPr>
          <w:rFonts w:ascii="Verdana" w:hAnsi="Verdana"/>
          <w:b/>
          <w:bCs/>
          <w:sz w:val="20"/>
          <w:szCs w:val="20"/>
        </w:rPr>
        <w:t>SCVB</w:t>
      </w:r>
    </w:p>
    <w:p w14:paraId="0F07033E" w14:textId="3058CA76" w:rsidR="007212DA" w:rsidRPr="006A4FD4" w:rsidRDefault="007212DA" w:rsidP="007212DA">
      <w:pPr>
        <w:spacing w:after="0"/>
        <w:jc w:val="both"/>
        <w:rPr>
          <w:rFonts w:ascii="Verdana" w:hAnsi="Verdana"/>
          <w:sz w:val="20"/>
          <w:szCs w:val="20"/>
        </w:rPr>
      </w:pPr>
      <w:r w:rsidRPr="006A4FD4">
        <w:rPr>
          <w:rFonts w:ascii="Verdana" w:hAnsi="Verdana"/>
          <w:sz w:val="20"/>
          <w:szCs w:val="20"/>
        </w:rPr>
        <w:t>1.1.2.16</w:t>
      </w:r>
      <w:r w:rsidR="00C53A3B">
        <w:rPr>
          <w:rFonts w:ascii="Verdana" w:hAnsi="Verdana"/>
          <w:sz w:val="20"/>
          <w:szCs w:val="20"/>
        </w:rPr>
        <w:t>8</w:t>
      </w:r>
      <w:r w:rsidRPr="006A4FD4">
        <w:rPr>
          <w:rFonts w:ascii="Verdana" w:hAnsi="Verdana"/>
          <w:sz w:val="20"/>
          <w:szCs w:val="20"/>
        </w:rPr>
        <w:t>.</w:t>
      </w:r>
    </w:p>
    <w:p w14:paraId="1B141274" w14:textId="65C88DCB" w:rsidR="007212DA" w:rsidRDefault="00466900" w:rsidP="007212DA">
      <w:pPr>
        <w:jc w:val="both"/>
        <w:rPr>
          <w:rFonts w:ascii="Verdana" w:hAnsi="Verdana"/>
          <w:sz w:val="20"/>
          <w:szCs w:val="20"/>
        </w:rPr>
      </w:pPr>
      <w:r>
        <w:rPr>
          <w:rFonts w:ascii="Verdana" w:hAnsi="Verdana"/>
          <w:sz w:val="20"/>
          <w:szCs w:val="20"/>
        </w:rPr>
        <w:t>Las SCBV d</w:t>
      </w:r>
      <w:r w:rsidRPr="00466900">
        <w:rPr>
          <w:rFonts w:ascii="Verdana" w:hAnsi="Verdana"/>
          <w:sz w:val="20"/>
          <w:szCs w:val="20"/>
        </w:rPr>
        <w:t>eben diseñar y aplicar modelos internos para la medición del riesgo de liquidez, derivado de las operaciones por cuenta propia y de las operaciones realizadas por cuenta de terceros; incluyendo el diseño de un Indicador de Riesgo de Liquidez y el establecimiento de límites prudenciales para tal indicador, que la respectiva entidad se obliga a cumplir.</w:t>
      </w:r>
    </w:p>
    <w:p w14:paraId="62A2AA8F" w14:textId="3384D33E" w:rsidR="00C53A3B" w:rsidRPr="0086035E" w:rsidRDefault="00C53A3B" w:rsidP="00C53A3B">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69</w:t>
      </w:r>
      <w:r w:rsidRPr="0086035E">
        <w:rPr>
          <w:rFonts w:ascii="Verdana" w:hAnsi="Verdana"/>
          <w:sz w:val="20"/>
          <w:szCs w:val="20"/>
        </w:rPr>
        <w:t>.</w:t>
      </w:r>
    </w:p>
    <w:p w14:paraId="157609F1" w14:textId="212C1EB4" w:rsidR="00C53A3B" w:rsidRPr="00007259" w:rsidRDefault="00021CE0" w:rsidP="00C53A3B">
      <w:pPr>
        <w:jc w:val="both"/>
        <w:rPr>
          <w:rFonts w:ascii="Verdana" w:hAnsi="Verdana"/>
          <w:sz w:val="20"/>
          <w:szCs w:val="20"/>
        </w:rPr>
      </w:pPr>
      <w:r>
        <w:rPr>
          <w:rFonts w:ascii="Verdana" w:hAnsi="Verdana"/>
          <w:sz w:val="20"/>
          <w:szCs w:val="20"/>
        </w:rPr>
        <w:t>Adicionalmente, las SCBV d</w:t>
      </w:r>
      <w:r w:rsidRPr="00C53A3B">
        <w:rPr>
          <w:rFonts w:ascii="Verdana" w:hAnsi="Verdana"/>
          <w:sz w:val="20"/>
          <w:szCs w:val="20"/>
        </w:rPr>
        <w:t>eben diseñar e implementar indicadores adicionales particulares de cada uno de los negocios desarrollados que le permitan identificar señales de alerta temprana de liquidez de acuerdo con las características de cada actividad.</w:t>
      </w:r>
    </w:p>
    <w:p w14:paraId="6C681BCB" w14:textId="0192DF97" w:rsidR="00C53A3B" w:rsidRPr="0086035E" w:rsidRDefault="00C53A3B" w:rsidP="00C53A3B">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70</w:t>
      </w:r>
      <w:r w:rsidRPr="0086035E">
        <w:rPr>
          <w:rFonts w:ascii="Verdana" w:hAnsi="Verdana"/>
          <w:sz w:val="20"/>
          <w:szCs w:val="20"/>
        </w:rPr>
        <w:t>.</w:t>
      </w:r>
    </w:p>
    <w:p w14:paraId="70FF3241" w14:textId="5D6D2474" w:rsidR="00C53A3B" w:rsidRPr="00007259" w:rsidRDefault="00C177F0" w:rsidP="00C53A3B">
      <w:pPr>
        <w:jc w:val="both"/>
        <w:rPr>
          <w:rFonts w:ascii="Verdana" w:hAnsi="Verdana"/>
          <w:sz w:val="20"/>
          <w:szCs w:val="20"/>
        </w:rPr>
      </w:pPr>
      <w:r>
        <w:rPr>
          <w:rFonts w:ascii="Verdana" w:hAnsi="Verdana"/>
          <w:sz w:val="20"/>
          <w:szCs w:val="20"/>
        </w:rPr>
        <w:t>Además de lo anterior, las SCBV d</w:t>
      </w:r>
      <w:r w:rsidRPr="00C53A3B">
        <w:rPr>
          <w:rFonts w:ascii="Verdana" w:hAnsi="Verdana"/>
          <w:sz w:val="20"/>
          <w:szCs w:val="20"/>
        </w:rPr>
        <w:t xml:space="preserve">eben estar en capacidad de mostrar de manera integral las exposiciones vigentes de la sociedad en los diferentes mercados, las necesidades individuales y generales de liquidez de la entidad y la disponibilidad de activos líquidos para atender posibles contingencias derivadas de dichas actividades. Tales modelos deben atender los requisitos mínimos señalados </w:t>
      </w:r>
      <w:r w:rsidR="00762512" w:rsidRPr="00504334">
        <w:rPr>
          <w:rFonts w:ascii="Verdana" w:hAnsi="Verdana"/>
          <w:sz w:val="20"/>
          <w:szCs w:val="20"/>
        </w:rPr>
        <w:t>en</w:t>
      </w:r>
      <w:r w:rsidR="00762512">
        <w:rPr>
          <w:rFonts w:ascii="Verdana" w:hAnsi="Verdana"/>
          <w:sz w:val="20"/>
          <w:szCs w:val="20"/>
        </w:rPr>
        <w:t>tre los párrafos 1.1.2.173. y 1.1.2.179</w:t>
      </w:r>
      <w:r w:rsidRPr="00C53A3B">
        <w:rPr>
          <w:rFonts w:ascii="Verdana" w:hAnsi="Verdana"/>
          <w:sz w:val="20"/>
          <w:szCs w:val="20"/>
        </w:rPr>
        <w:t>. Los resultados obtenidos y, en general toda la documentación sobre los parámetros, supuestos, construcción y funcionamiento del modelo interno, deben estar a disposición de la SFC.</w:t>
      </w:r>
    </w:p>
    <w:p w14:paraId="0937DD08" w14:textId="42581E2C" w:rsidR="00C53A3B" w:rsidRPr="0086035E" w:rsidRDefault="00C53A3B" w:rsidP="00C53A3B">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71</w:t>
      </w:r>
      <w:r w:rsidRPr="0086035E">
        <w:rPr>
          <w:rFonts w:ascii="Verdana" w:hAnsi="Verdana"/>
          <w:sz w:val="20"/>
          <w:szCs w:val="20"/>
        </w:rPr>
        <w:t>.</w:t>
      </w:r>
    </w:p>
    <w:p w14:paraId="51BA22B1" w14:textId="2C0B35BC" w:rsidR="00552DED" w:rsidRDefault="00C53A3B" w:rsidP="00552DED">
      <w:pPr>
        <w:jc w:val="both"/>
        <w:rPr>
          <w:rFonts w:ascii="Verdana" w:hAnsi="Verdana"/>
          <w:sz w:val="20"/>
          <w:szCs w:val="20"/>
        </w:rPr>
      </w:pPr>
      <w:r w:rsidRPr="00C53A3B">
        <w:rPr>
          <w:rFonts w:ascii="Verdana" w:hAnsi="Verdana"/>
          <w:sz w:val="20"/>
          <w:szCs w:val="20"/>
        </w:rPr>
        <w:t xml:space="preserve">Adicionalmente, deben implementar el modelo estándar de medición del riesgo de liquidez, reportar el resultado de la medición y cumplir los límites y medidas establecidos por la SFC, de acuerdo con las instrucciones señaladas en la </w:t>
      </w:r>
      <w:r w:rsidR="00FC1A77">
        <w:rPr>
          <w:rFonts w:ascii="Verdana" w:hAnsi="Verdana"/>
          <w:sz w:val="20"/>
          <w:szCs w:val="20"/>
        </w:rPr>
        <w:t>sección 3</w:t>
      </w:r>
      <w:r w:rsidRPr="00C53A3B">
        <w:rPr>
          <w:rFonts w:ascii="Verdana" w:hAnsi="Verdana"/>
          <w:sz w:val="20"/>
          <w:szCs w:val="20"/>
        </w:rPr>
        <w:t xml:space="preserve"> del presente </w:t>
      </w:r>
      <w:r w:rsidR="00FC1A77">
        <w:rPr>
          <w:rFonts w:ascii="Verdana" w:hAnsi="Verdana"/>
          <w:sz w:val="20"/>
          <w:szCs w:val="20"/>
        </w:rPr>
        <w:t>c</w:t>
      </w:r>
      <w:r w:rsidRPr="00C53A3B">
        <w:rPr>
          <w:rFonts w:ascii="Verdana" w:hAnsi="Verdana"/>
          <w:sz w:val="20"/>
          <w:szCs w:val="20"/>
        </w:rPr>
        <w:t>apítulo.</w:t>
      </w:r>
    </w:p>
    <w:p w14:paraId="6CD1AFBA" w14:textId="4D065DAC" w:rsidR="00552DED" w:rsidRDefault="00BE6100" w:rsidP="00552DED">
      <w:pPr>
        <w:pStyle w:val="Prrafodelista"/>
        <w:numPr>
          <w:ilvl w:val="1"/>
          <w:numId w:val="2"/>
        </w:numPr>
        <w:ind w:left="567" w:hanging="283"/>
        <w:jc w:val="both"/>
        <w:rPr>
          <w:rFonts w:ascii="Verdana" w:hAnsi="Verdana"/>
          <w:b/>
          <w:bCs/>
          <w:sz w:val="20"/>
          <w:szCs w:val="20"/>
        </w:rPr>
      </w:pPr>
      <w:r>
        <w:rPr>
          <w:rFonts w:ascii="Verdana" w:hAnsi="Verdana"/>
          <w:b/>
          <w:bCs/>
          <w:sz w:val="20"/>
          <w:szCs w:val="20"/>
        </w:rPr>
        <w:t>ASGP</w:t>
      </w:r>
    </w:p>
    <w:p w14:paraId="434F51BB" w14:textId="4D691C90" w:rsidR="00552DED" w:rsidRPr="006A4FD4" w:rsidRDefault="00552DED" w:rsidP="00552DED">
      <w:pPr>
        <w:spacing w:after="0"/>
        <w:jc w:val="both"/>
        <w:rPr>
          <w:rFonts w:ascii="Verdana" w:hAnsi="Verdana"/>
          <w:sz w:val="20"/>
          <w:szCs w:val="20"/>
        </w:rPr>
      </w:pPr>
      <w:r w:rsidRPr="006A4FD4">
        <w:rPr>
          <w:rFonts w:ascii="Verdana" w:hAnsi="Verdana"/>
          <w:sz w:val="20"/>
          <w:szCs w:val="20"/>
        </w:rPr>
        <w:t>1.1.2.1</w:t>
      </w:r>
      <w:r w:rsidR="00BE6100">
        <w:rPr>
          <w:rFonts w:ascii="Verdana" w:hAnsi="Verdana"/>
          <w:sz w:val="20"/>
          <w:szCs w:val="20"/>
        </w:rPr>
        <w:t>72</w:t>
      </w:r>
      <w:r w:rsidRPr="006A4FD4">
        <w:rPr>
          <w:rFonts w:ascii="Verdana" w:hAnsi="Verdana"/>
          <w:sz w:val="20"/>
          <w:szCs w:val="20"/>
        </w:rPr>
        <w:t>.</w:t>
      </w:r>
    </w:p>
    <w:p w14:paraId="573D72C6" w14:textId="4D35CA12" w:rsidR="00604F4B" w:rsidRDefault="00552DED" w:rsidP="00552DED">
      <w:pPr>
        <w:jc w:val="both"/>
        <w:rPr>
          <w:rFonts w:ascii="Verdana" w:hAnsi="Verdana"/>
          <w:sz w:val="20"/>
          <w:szCs w:val="20"/>
        </w:rPr>
      </w:pPr>
      <w:r>
        <w:rPr>
          <w:rFonts w:ascii="Verdana" w:hAnsi="Verdana"/>
          <w:sz w:val="20"/>
          <w:szCs w:val="20"/>
        </w:rPr>
        <w:t xml:space="preserve">Las </w:t>
      </w:r>
      <w:r w:rsidR="00FB0CDD">
        <w:rPr>
          <w:rFonts w:ascii="Verdana" w:hAnsi="Verdana"/>
          <w:sz w:val="20"/>
          <w:szCs w:val="20"/>
        </w:rPr>
        <w:t>ASGP d</w:t>
      </w:r>
      <w:r w:rsidR="00FB0CDD" w:rsidRPr="00FB0CDD">
        <w:rPr>
          <w:rFonts w:ascii="Verdana" w:hAnsi="Verdana"/>
          <w:sz w:val="20"/>
          <w:szCs w:val="20"/>
        </w:rPr>
        <w:t>eben contar con modelos internos para la gestión del riesgo de liquidez inherente a las operaciones que desarrollan los fondos de pensiones voluntarias, fondos de cesantías y el fondo de retiro programado y mantener la información sobre el modelo, sus resultados y límites a disposición de la SFC.</w:t>
      </w:r>
    </w:p>
    <w:p w14:paraId="4BEB5816" w14:textId="06AB7BF8" w:rsidR="002A286B" w:rsidRDefault="00BE21CD" w:rsidP="002A286B">
      <w:pPr>
        <w:pStyle w:val="Prrafodelista"/>
        <w:numPr>
          <w:ilvl w:val="1"/>
          <w:numId w:val="2"/>
        </w:numPr>
        <w:ind w:left="567" w:hanging="283"/>
        <w:jc w:val="both"/>
        <w:rPr>
          <w:rFonts w:ascii="Verdana" w:hAnsi="Verdana"/>
          <w:b/>
          <w:bCs/>
          <w:sz w:val="20"/>
          <w:szCs w:val="20"/>
        </w:rPr>
      </w:pPr>
      <w:r w:rsidRPr="00BE21CD">
        <w:rPr>
          <w:rFonts w:ascii="Verdana" w:hAnsi="Verdana"/>
          <w:b/>
          <w:bCs/>
          <w:sz w:val="20"/>
          <w:szCs w:val="20"/>
        </w:rPr>
        <w:t>Estándares cuantitativos y cualitativos para los modelos internos</w:t>
      </w:r>
    </w:p>
    <w:p w14:paraId="1E9F143E" w14:textId="178A4607" w:rsidR="002A286B" w:rsidRPr="006A4FD4" w:rsidRDefault="002A286B" w:rsidP="002A286B">
      <w:pPr>
        <w:spacing w:after="0"/>
        <w:jc w:val="both"/>
        <w:rPr>
          <w:rFonts w:ascii="Verdana" w:hAnsi="Verdana"/>
          <w:sz w:val="20"/>
          <w:szCs w:val="20"/>
        </w:rPr>
      </w:pPr>
      <w:r w:rsidRPr="006A4FD4">
        <w:rPr>
          <w:rFonts w:ascii="Verdana" w:hAnsi="Verdana"/>
          <w:sz w:val="20"/>
          <w:szCs w:val="20"/>
        </w:rPr>
        <w:t>1.1.2.1</w:t>
      </w:r>
      <w:r>
        <w:rPr>
          <w:rFonts w:ascii="Verdana" w:hAnsi="Verdana"/>
          <w:sz w:val="20"/>
          <w:szCs w:val="20"/>
        </w:rPr>
        <w:t>7</w:t>
      </w:r>
      <w:r w:rsidR="00BE21CD">
        <w:rPr>
          <w:rFonts w:ascii="Verdana" w:hAnsi="Verdana"/>
          <w:sz w:val="20"/>
          <w:szCs w:val="20"/>
        </w:rPr>
        <w:t>3</w:t>
      </w:r>
      <w:r w:rsidRPr="006A4FD4">
        <w:rPr>
          <w:rFonts w:ascii="Verdana" w:hAnsi="Verdana"/>
          <w:sz w:val="20"/>
          <w:szCs w:val="20"/>
        </w:rPr>
        <w:t>.</w:t>
      </w:r>
    </w:p>
    <w:p w14:paraId="57D8569A" w14:textId="44779795" w:rsidR="002A286B" w:rsidRDefault="00884671" w:rsidP="002A286B">
      <w:pPr>
        <w:jc w:val="both"/>
        <w:rPr>
          <w:rFonts w:ascii="Verdana" w:hAnsi="Verdana"/>
          <w:sz w:val="20"/>
          <w:szCs w:val="20"/>
        </w:rPr>
      </w:pPr>
      <w:r w:rsidRPr="00884671">
        <w:rPr>
          <w:rFonts w:ascii="Verdana" w:hAnsi="Verdana"/>
          <w:sz w:val="20"/>
          <w:szCs w:val="20"/>
        </w:rPr>
        <w:t>Los modelos internos que adopte la entidad para medir su exposición al riesgo de liquidez deben cumplir con los siguientes requisitos:</w:t>
      </w:r>
    </w:p>
    <w:p w14:paraId="0D88DA46" w14:textId="77777777" w:rsidR="00E90904" w:rsidRDefault="00E90904" w:rsidP="00E90904">
      <w:pPr>
        <w:pStyle w:val="Prrafodelista"/>
        <w:numPr>
          <w:ilvl w:val="0"/>
          <w:numId w:val="60"/>
        </w:numPr>
        <w:ind w:left="567" w:hanging="567"/>
        <w:jc w:val="both"/>
        <w:rPr>
          <w:rFonts w:ascii="Verdana" w:hAnsi="Verdana"/>
          <w:sz w:val="20"/>
          <w:szCs w:val="20"/>
        </w:rPr>
      </w:pPr>
      <w:r w:rsidRPr="00E90904">
        <w:rPr>
          <w:rFonts w:ascii="Verdana" w:hAnsi="Verdana"/>
          <w:sz w:val="20"/>
          <w:szCs w:val="20"/>
        </w:rPr>
        <w:t>Ser consistente con la naturaleza, tamaño, complejidad e importancia sistémica de la entidad, con el plan de negocio, apetito de riesgo y perfil de riesgo de la entidad y con la línea de negocio o actividad significativa que desarrolle.</w:t>
      </w:r>
    </w:p>
    <w:p w14:paraId="33F026A5" w14:textId="77777777" w:rsidR="00E90904" w:rsidRDefault="00E90904" w:rsidP="00E90904">
      <w:pPr>
        <w:pStyle w:val="Prrafodelista"/>
        <w:ind w:left="567"/>
        <w:jc w:val="both"/>
        <w:rPr>
          <w:rFonts w:ascii="Verdana" w:hAnsi="Verdana"/>
          <w:sz w:val="20"/>
          <w:szCs w:val="20"/>
        </w:rPr>
      </w:pPr>
    </w:p>
    <w:p w14:paraId="2CBA9A42" w14:textId="002D59B8" w:rsidR="00E90904" w:rsidRDefault="00E90904" w:rsidP="00E90904">
      <w:pPr>
        <w:pStyle w:val="Prrafodelista"/>
        <w:numPr>
          <w:ilvl w:val="0"/>
          <w:numId w:val="60"/>
        </w:numPr>
        <w:ind w:left="567" w:hanging="567"/>
        <w:jc w:val="both"/>
        <w:rPr>
          <w:rFonts w:ascii="Verdana" w:hAnsi="Verdana"/>
          <w:sz w:val="20"/>
          <w:szCs w:val="20"/>
        </w:rPr>
      </w:pPr>
      <w:r w:rsidRPr="00E90904">
        <w:rPr>
          <w:rFonts w:ascii="Verdana" w:hAnsi="Verdana"/>
          <w:sz w:val="20"/>
          <w:szCs w:val="20"/>
        </w:rPr>
        <w:t xml:space="preserve">Permitir estimar la exposición al riesgo de liquidez y los colchones, coberturas o instrumentos de mitigación </w:t>
      </w:r>
      <w:proofErr w:type="gramStart"/>
      <w:r w:rsidRPr="00E90904">
        <w:rPr>
          <w:rFonts w:ascii="Verdana" w:hAnsi="Verdana"/>
          <w:sz w:val="20"/>
          <w:szCs w:val="20"/>
        </w:rPr>
        <w:t>del mismo</w:t>
      </w:r>
      <w:proofErr w:type="gramEnd"/>
      <w:r w:rsidRPr="00E90904">
        <w:rPr>
          <w:rFonts w:ascii="Verdana" w:hAnsi="Verdana"/>
          <w:sz w:val="20"/>
          <w:szCs w:val="20"/>
        </w:rPr>
        <w:t xml:space="preserve"> en un escenario base y en</w:t>
      </w:r>
      <w:r w:rsidR="0041566C">
        <w:rPr>
          <w:rFonts w:ascii="Verdana" w:hAnsi="Verdana"/>
          <w:sz w:val="20"/>
          <w:szCs w:val="20"/>
        </w:rPr>
        <w:t xml:space="preserve"> un</w:t>
      </w:r>
      <w:r w:rsidRPr="00E90904">
        <w:rPr>
          <w:rFonts w:ascii="Verdana" w:hAnsi="Verdana"/>
          <w:sz w:val="20"/>
          <w:szCs w:val="20"/>
        </w:rPr>
        <w:t xml:space="preserve"> </w:t>
      </w:r>
      <w:proofErr w:type="gramStart"/>
      <w:r w:rsidR="00650F5D">
        <w:rPr>
          <w:rFonts w:ascii="Verdana" w:hAnsi="Verdana"/>
          <w:sz w:val="20"/>
          <w:szCs w:val="20"/>
        </w:rPr>
        <w:t xml:space="preserve">escenario </w:t>
      </w:r>
      <w:r w:rsidRPr="00E90904">
        <w:rPr>
          <w:rFonts w:ascii="Verdana" w:hAnsi="Verdana"/>
          <w:sz w:val="20"/>
          <w:szCs w:val="20"/>
        </w:rPr>
        <w:t xml:space="preserve"> adverso</w:t>
      </w:r>
      <w:proofErr w:type="gramEnd"/>
      <w:r w:rsidRPr="00E90904">
        <w:rPr>
          <w:rFonts w:ascii="Verdana" w:hAnsi="Verdana"/>
          <w:sz w:val="20"/>
          <w:szCs w:val="20"/>
        </w:rPr>
        <w:t>, siempre bajo el supuesto del negocio en marcha.</w:t>
      </w:r>
    </w:p>
    <w:p w14:paraId="0DBC9598" w14:textId="77777777" w:rsidR="00E90904" w:rsidRPr="00E90904" w:rsidRDefault="00E90904" w:rsidP="00E90904">
      <w:pPr>
        <w:pStyle w:val="Prrafodelista"/>
        <w:rPr>
          <w:rFonts w:ascii="Verdana" w:hAnsi="Verdana"/>
          <w:sz w:val="20"/>
          <w:szCs w:val="20"/>
        </w:rPr>
      </w:pPr>
    </w:p>
    <w:p w14:paraId="40FB6EE7" w14:textId="77777777" w:rsidR="00E90904" w:rsidRDefault="00E90904" w:rsidP="00E90904">
      <w:pPr>
        <w:pStyle w:val="Prrafodelista"/>
        <w:numPr>
          <w:ilvl w:val="0"/>
          <w:numId w:val="60"/>
        </w:numPr>
        <w:ind w:left="567" w:hanging="567"/>
        <w:jc w:val="both"/>
        <w:rPr>
          <w:rFonts w:ascii="Verdana" w:hAnsi="Verdana"/>
          <w:sz w:val="20"/>
          <w:szCs w:val="20"/>
        </w:rPr>
      </w:pPr>
      <w:r w:rsidRPr="00E90904">
        <w:rPr>
          <w:rFonts w:ascii="Verdana" w:hAnsi="Verdana"/>
          <w:sz w:val="20"/>
          <w:szCs w:val="20"/>
        </w:rPr>
        <w:t>Proyectar los flujos de caja en el tiempo (horizonte de supervivencia), bajo un número de escenarios alternativos. Este análisis de escenarios, incluidos escenarios adversos (pruebas de estrés) debe proyectarse para los diferentes componentes del Indicador de Riesgo de Liquidez o los indicadores que utilice la entidad.</w:t>
      </w:r>
    </w:p>
    <w:p w14:paraId="08DA6A8A" w14:textId="77777777" w:rsidR="00E90904" w:rsidRPr="00E90904" w:rsidRDefault="00E90904" w:rsidP="00E90904">
      <w:pPr>
        <w:pStyle w:val="Prrafodelista"/>
        <w:rPr>
          <w:rFonts w:ascii="Verdana" w:hAnsi="Verdana"/>
          <w:sz w:val="20"/>
          <w:szCs w:val="20"/>
        </w:rPr>
      </w:pPr>
    </w:p>
    <w:p w14:paraId="34B1BF81" w14:textId="07E395EE" w:rsidR="00604F4B" w:rsidRDefault="00E90904" w:rsidP="00E90904">
      <w:pPr>
        <w:pStyle w:val="Prrafodelista"/>
        <w:numPr>
          <w:ilvl w:val="0"/>
          <w:numId w:val="60"/>
        </w:numPr>
        <w:ind w:left="567" w:hanging="567"/>
        <w:jc w:val="both"/>
        <w:rPr>
          <w:rFonts w:ascii="Verdana" w:hAnsi="Verdana"/>
          <w:sz w:val="20"/>
          <w:szCs w:val="20"/>
        </w:rPr>
      </w:pPr>
      <w:r w:rsidRPr="00E90904">
        <w:rPr>
          <w:rFonts w:ascii="Verdana" w:hAnsi="Verdana"/>
          <w:sz w:val="20"/>
          <w:szCs w:val="20"/>
        </w:rPr>
        <w:lastRenderedPageBreak/>
        <w:t>El Indicador de Riesgo de Liquidez y/o los indicadores que utilicen las entidades mencionadas para la gestión del riesgo de liquidez deben ser calculados por lo menos semanalmente.</w:t>
      </w:r>
    </w:p>
    <w:p w14:paraId="4DE09394" w14:textId="77777777" w:rsidR="002348D3" w:rsidRPr="002348D3" w:rsidRDefault="002348D3" w:rsidP="002348D3">
      <w:pPr>
        <w:pStyle w:val="Prrafodelista"/>
        <w:rPr>
          <w:rFonts w:ascii="Verdana" w:hAnsi="Verdana"/>
          <w:sz w:val="20"/>
          <w:szCs w:val="20"/>
        </w:rPr>
      </w:pPr>
    </w:p>
    <w:p w14:paraId="718CEA31" w14:textId="54F9AB13" w:rsidR="002348D3" w:rsidRPr="002348D3" w:rsidRDefault="002348D3" w:rsidP="002348D3">
      <w:pPr>
        <w:pStyle w:val="Prrafodelista"/>
        <w:numPr>
          <w:ilvl w:val="0"/>
          <w:numId w:val="60"/>
        </w:numPr>
        <w:ind w:left="567" w:hanging="567"/>
        <w:jc w:val="both"/>
        <w:rPr>
          <w:rFonts w:ascii="Verdana" w:hAnsi="Verdana"/>
          <w:sz w:val="20"/>
          <w:szCs w:val="20"/>
        </w:rPr>
      </w:pPr>
      <w:r w:rsidRPr="002348D3">
        <w:rPr>
          <w:rFonts w:ascii="Verdana" w:hAnsi="Verdana"/>
          <w:sz w:val="20"/>
          <w:szCs w:val="20"/>
        </w:rPr>
        <w:t>Incorporar la medición de las necesidades de liquidez en moneda extranjera y permitir a la entidad determinar el nivel de descalce aceptable, de acuerdo con su política de límites (en moneda extranjera y por tipo de instrumento). El tamaño de los descalces debe tener en cuenta, entre otros:</w:t>
      </w:r>
    </w:p>
    <w:p w14:paraId="34ABD08E" w14:textId="77777777" w:rsidR="002348D3" w:rsidRDefault="002348D3" w:rsidP="002348D3">
      <w:pPr>
        <w:pStyle w:val="Prrafodelista"/>
        <w:ind w:left="1134"/>
        <w:jc w:val="both"/>
        <w:rPr>
          <w:rFonts w:ascii="Verdana" w:hAnsi="Verdana"/>
          <w:sz w:val="20"/>
          <w:szCs w:val="20"/>
        </w:rPr>
      </w:pPr>
    </w:p>
    <w:p w14:paraId="197F3958" w14:textId="77777777" w:rsidR="002348D3" w:rsidRDefault="002348D3" w:rsidP="002348D3">
      <w:pPr>
        <w:pStyle w:val="Prrafodelista"/>
        <w:numPr>
          <w:ilvl w:val="0"/>
          <w:numId w:val="61"/>
        </w:numPr>
        <w:ind w:left="1134" w:hanging="567"/>
        <w:jc w:val="both"/>
        <w:rPr>
          <w:rFonts w:ascii="Verdana" w:hAnsi="Verdana"/>
          <w:sz w:val="20"/>
          <w:szCs w:val="20"/>
        </w:rPr>
      </w:pPr>
      <w:r w:rsidRPr="002348D3">
        <w:rPr>
          <w:rFonts w:ascii="Verdana" w:hAnsi="Verdana"/>
          <w:sz w:val="20"/>
          <w:szCs w:val="20"/>
        </w:rPr>
        <w:t>La capacidad de la entidad para obtener fondos en los mercados externos.</w:t>
      </w:r>
    </w:p>
    <w:p w14:paraId="44D6D796" w14:textId="77777777" w:rsidR="002348D3" w:rsidRDefault="002348D3" w:rsidP="002348D3">
      <w:pPr>
        <w:pStyle w:val="Prrafodelista"/>
        <w:ind w:left="1134"/>
        <w:jc w:val="both"/>
        <w:rPr>
          <w:rFonts w:ascii="Verdana" w:hAnsi="Verdana"/>
          <w:sz w:val="20"/>
          <w:szCs w:val="20"/>
        </w:rPr>
      </w:pPr>
    </w:p>
    <w:p w14:paraId="096F26CB" w14:textId="77777777" w:rsidR="002348D3" w:rsidRDefault="002348D3" w:rsidP="002348D3">
      <w:pPr>
        <w:pStyle w:val="Prrafodelista"/>
        <w:numPr>
          <w:ilvl w:val="0"/>
          <w:numId w:val="61"/>
        </w:numPr>
        <w:ind w:left="1134" w:hanging="567"/>
        <w:jc w:val="both"/>
        <w:rPr>
          <w:rFonts w:ascii="Verdana" w:hAnsi="Verdana"/>
          <w:sz w:val="20"/>
          <w:szCs w:val="20"/>
        </w:rPr>
      </w:pPr>
      <w:r w:rsidRPr="002348D3">
        <w:rPr>
          <w:rFonts w:ascii="Verdana" w:hAnsi="Verdana"/>
          <w:sz w:val="20"/>
          <w:szCs w:val="20"/>
        </w:rPr>
        <w:t>La disponibilidad de recursos en moneda extranjera en el mercado local y su probabilidad de conversión.</w:t>
      </w:r>
    </w:p>
    <w:p w14:paraId="082FE13D" w14:textId="77777777" w:rsidR="002348D3" w:rsidRPr="002348D3" w:rsidRDefault="002348D3" w:rsidP="002348D3">
      <w:pPr>
        <w:pStyle w:val="Prrafodelista"/>
        <w:rPr>
          <w:rFonts w:ascii="Verdana" w:hAnsi="Verdana"/>
          <w:sz w:val="20"/>
          <w:szCs w:val="20"/>
        </w:rPr>
      </w:pPr>
    </w:p>
    <w:p w14:paraId="03843C3A" w14:textId="69B96BF3" w:rsidR="002348D3" w:rsidRPr="002348D3" w:rsidRDefault="002348D3" w:rsidP="002348D3">
      <w:pPr>
        <w:pStyle w:val="Prrafodelista"/>
        <w:numPr>
          <w:ilvl w:val="0"/>
          <w:numId w:val="61"/>
        </w:numPr>
        <w:ind w:left="1134" w:hanging="567"/>
        <w:jc w:val="both"/>
        <w:rPr>
          <w:rFonts w:ascii="Verdana" w:hAnsi="Verdana"/>
          <w:sz w:val="20"/>
          <w:szCs w:val="20"/>
        </w:rPr>
      </w:pPr>
      <w:r w:rsidRPr="002348D3">
        <w:rPr>
          <w:rFonts w:ascii="Verdana" w:hAnsi="Verdana"/>
          <w:sz w:val="20"/>
          <w:szCs w:val="20"/>
        </w:rPr>
        <w:t>La capacidad para transferir recursos en exceso de una moneda a otra, a través de jurisdicciones y entidades del conglomerado financiero.</w:t>
      </w:r>
    </w:p>
    <w:p w14:paraId="18C01A10" w14:textId="77777777" w:rsidR="002348D3" w:rsidRPr="002348D3" w:rsidRDefault="002348D3" w:rsidP="002348D3">
      <w:pPr>
        <w:pStyle w:val="Prrafodelista"/>
        <w:rPr>
          <w:rFonts w:ascii="Verdana" w:hAnsi="Verdana"/>
          <w:sz w:val="20"/>
          <w:szCs w:val="20"/>
        </w:rPr>
      </w:pPr>
    </w:p>
    <w:p w14:paraId="578212F6" w14:textId="77777777" w:rsidR="00311C2C" w:rsidRDefault="00311C2C" w:rsidP="00311C2C">
      <w:pPr>
        <w:pStyle w:val="Prrafodelista"/>
        <w:numPr>
          <w:ilvl w:val="0"/>
          <w:numId w:val="60"/>
        </w:numPr>
        <w:ind w:left="567" w:hanging="567"/>
        <w:jc w:val="both"/>
        <w:rPr>
          <w:rFonts w:ascii="Verdana" w:hAnsi="Verdana"/>
          <w:sz w:val="20"/>
          <w:szCs w:val="20"/>
        </w:rPr>
      </w:pPr>
      <w:r w:rsidRPr="00311C2C">
        <w:rPr>
          <w:rFonts w:ascii="Verdana" w:hAnsi="Verdana"/>
          <w:sz w:val="20"/>
          <w:szCs w:val="20"/>
        </w:rPr>
        <w:t>Los cambios súbitos en las tasas de cambio o de la liquidez del mercado que pueden distorsionar las coberturas de tasa de cambio que tenga la entidad.</w:t>
      </w:r>
    </w:p>
    <w:p w14:paraId="08A6F532" w14:textId="77777777" w:rsidR="00311C2C" w:rsidRDefault="00311C2C" w:rsidP="00311C2C">
      <w:pPr>
        <w:pStyle w:val="Prrafodelista"/>
        <w:ind w:left="567"/>
        <w:jc w:val="both"/>
        <w:rPr>
          <w:rFonts w:ascii="Verdana" w:hAnsi="Verdana"/>
          <w:sz w:val="20"/>
          <w:szCs w:val="20"/>
        </w:rPr>
      </w:pPr>
    </w:p>
    <w:p w14:paraId="0D4F74EB" w14:textId="77777777" w:rsidR="00311C2C" w:rsidRDefault="00311C2C" w:rsidP="00311C2C">
      <w:pPr>
        <w:pStyle w:val="Prrafodelista"/>
        <w:numPr>
          <w:ilvl w:val="0"/>
          <w:numId w:val="60"/>
        </w:numPr>
        <w:ind w:left="567" w:hanging="567"/>
        <w:jc w:val="both"/>
        <w:rPr>
          <w:rFonts w:ascii="Verdana" w:hAnsi="Verdana"/>
          <w:sz w:val="20"/>
          <w:szCs w:val="20"/>
        </w:rPr>
      </w:pPr>
      <w:r w:rsidRPr="00311C2C">
        <w:rPr>
          <w:rFonts w:ascii="Verdana" w:hAnsi="Verdana"/>
          <w:sz w:val="20"/>
          <w:szCs w:val="20"/>
        </w:rPr>
        <w:t>Las bases de datos requeridas para la estimación deben mantenerse actualizadas.</w:t>
      </w:r>
    </w:p>
    <w:p w14:paraId="3C4506AE" w14:textId="77777777" w:rsidR="00311C2C" w:rsidRPr="00311C2C" w:rsidRDefault="00311C2C" w:rsidP="00311C2C">
      <w:pPr>
        <w:pStyle w:val="Prrafodelista"/>
        <w:rPr>
          <w:rFonts w:ascii="Verdana" w:hAnsi="Verdana"/>
          <w:sz w:val="20"/>
          <w:szCs w:val="20"/>
        </w:rPr>
      </w:pPr>
    </w:p>
    <w:p w14:paraId="766C52C9" w14:textId="4E50D02F" w:rsidR="00311C2C" w:rsidRPr="00311C2C" w:rsidRDefault="00311C2C" w:rsidP="00311C2C">
      <w:pPr>
        <w:pStyle w:val="Prrafodelista"/>
        <w:numPr>
          <w:ilvl w:val="0"/>
          <w:numId w:val="60"/>
        </w:numPr>
        <w:ind w:left="567" w:hanging="567"/>
        <w:jc w:val="both"/>
        <w:rPr>
          <w:rFonts w:ascii="Verdana" w:hAnsi="Verdana"/>
          <w:sz w:val="20"/>
          <w:szCs w:val="20"/>
        </w:rPr>
      </w:pPr>
      <w:r w:rsidRPr="00311C2C">
        <w:rPr>
          <w:rFonts w:ascii="Verdana" w:hAnsi="Verdana"/>
          <w:sz w:val="20"/>
          <w:szCs w:val="20"/>
        </w:rPr>
        <w:t>Cuando se presenten cambios estructurales en el mercado que no estén reflejados adecuadamente en las series históricas empleadas, el modelo debe permitir incorporar el efecto de estos movimientos en dicho indicador. En todo caso, el reporte de información sobre el riesgo de liquidez con el modelo interno debe diferenciar claramente dos escenarios para los que la entidad debe presentar los resultados, a saber:</w:t>
      </w:r>
    </w:p>
    <w:p w14:paraId="26B6499C" w14:textId="0E63DDBF" w:rsidR="00311C2C" w:rsidRDefault="00311C2C" w:rsidP="00311C2C">
      <w:pPr>
        <w:pStyle w:val="Prrafodelista"/>
        <w:ind w:left="1134"/>
        <w:jc w:val="both"/>
        <w:rPr>
          <w:rFonts w:ascii="Verdana" w:hAnsi="Verdana"/>
          <w:sz w:val="20"/>
          <w:szCs w:val="20"/>
        </w:rPr>
      </w:pPr>
    </w:p>
    <w:p w14:paraId="3AB2155A" w14:textId="77777777" w:rsidR="00311C2C" w:rsidRDefault="00311C2C" w:rsidP="00311C2C">
      <w:pPr>
        <w:pStyle w:val="Prrafodelista"/>
        <w:numPr>
          <w:ilvl w:val="0"/>
          <w:numId w:val="62"/>
        </w:numPr>
        <w:ind w:left="1134" w:hanging="567"/>
        <w:jc w:val="both"/>
        <w:rPr>
          <w:rFonts w:ascii="Verdana" w:hAnsi="Verdana"/>
          <w:sz w:val="20"/>
          <w:szCs w:val="20"/>
        </w:rPr>
      </w:pPr>
      <w:r w:rsidRPr="00311C2C">
        <w:rPr>
          <w:rFonts w:ascii="Verdana" w:hAnsi="Verdana"/>
          <w:sz w:val="20"/>
          <w:szCs w:val="20"/>
        </w:rPr>
        <w:t>Un escenario de liquidez en condiciones normales tanto del mercado como de la entidad.</w:t>
      </w:r>
    </w:p>
    <w:p w14:paraId="186521F3" w14:textId="77777777" w:rsidR="00311C2C" w:rsidRDefault="00311C2C" w:rsidP="00311C2C">
      <w:pPr>
        <w:pStyle w:val="Prrafodelista"/>
        <w:ind w:left="1134"/>
        <w:jc w:val="both"/>
        <w:rPr>
          <w:rFonts w:ascii="Verdana" w:hAnsi="Verdana"/>
          <w:sz w:val="20"/>
          <w:szCs w:val="20"/>
        </w:rPr>
      </w:pPr>
    </w:p>
    <w:p w14:paraId="3C4DDE57" w14:textId="515B37FC" w:rsidR="00311C2C" w:rsidRPr="00311C2C" w:rsidRDefault="00311C2C" w:rsidP="00311C2C">
      <w:pPr>
        <w:pStyle w:val="Prrafodelista"/>
        <w:numPr>
          <w:ilvl w:val="0"/>
          <w:numId w:val="62"/>
        </w:numPr>
        <w:ind w:left="1134" w:hanging="567"/>
        <w:jc w:val="both"/>
        <w:rPr>
          <w:rFonts w:ascii="Verdana" w:hAnsi="Verdana"/>
          <w:sz w:val="20"/>
          <w:szCs w:val="20"/>
        </w:rPr>
      </w:pPr>
      <w:r w:rsidRPr="00311C2C">
        <w:rPr>
          <w:rFonts w:ascii="Verdana" w:hAnsi="Verdana"/>
          <w:sz w:val="20"/>
          <w:szCs w:val="20"/>
        </w:rPr>
        <w:t xml:space="preserve">Un escenario de liquidez bajo hipótesis razonables, en condiciones de crisis. El escenario estresado puede estar referido a crisis de los mercados, de la entidad o de ambos y debe estar alineado con lo definido para </w:t>
      </w:r>
      <w:r w:rsidR="00877283">
        <w:rPr>
          <w:rFonts w:ascii="Verdana" w:hAnsi="Verdana"/>
          <w:sz w:val="20"/>
          <w:szCs w:val="20"/>
        </w:rPr>
        <w:t xml:space="preserve">las </w:t>
      </w:r>
      <w:r w:rsidRPr="00311C2C">
        <w:rPr>
          <w:rFonts w:ascii="Verdana" w:hAnsi="Verdana"/>
          <w:sz w:val="20"/>
          <w:szCs w:val="20"/>
        </w:rPr>
        <w:t>pruebas de estrés e</w:t>
      </w:r>
      <w:r w:rsidR="0086733F">
        <w:rPr>
          <w:rFonts w:ascii="Verdana" w:hAnsi="Verdana"/>
          <w:sz w:val="20"/>
          <w:szCs w:val="20"/>
        </w:rPr>
        <w:t>ntre los párrafos 1.1.2.177 y 1.1.2.179</w:t>
      </w:r>
      <w:r w:rsidRPr="00311C2C">
        <w:rPr>
          <w:rFonts w:ascii="Verdana" w:hAnsi="Verdana"/>
          <w:sz w:val="20"/>
          <w:szCs w:val="20"/>
        </w:rPr>
        <w:t>.</w:t>
      </w:r>
    </w:p>
    <w:p w14:paraId="5AC37897" w14:textId="62E82F7C" w:rsidR="009E2734" w:rsidRPr="006A4FD4" w:rsidRDefault="009E2734" w:rsidP="009E2734">
      <w:pPr>
        <w:spacing w:after="0"/>
        <w:jc w:val="both"/>
        <w:rPr>
          <w:rFonts w:ascii="Verdana" w:hAnsi="Verdana"/>
          <w:sz w:val="20"/>
          <w:szCs w:val="20"/>
        </w:rPr>
      </w:pPr>
      <w:r w:rsidRPr="006A4FD4">
        <w:rPr>
          <w:rFonts w:ascii="Verdana" w:hAnsi="Verdana"/>
          <w:sz w:val="20"/>
          <w:szCs w:val="20"/>
        </w:rPr>
        <w:t>1.1.2.1</w:t>
      </w:r>
      <w:r>
        <w:rPr>
          <w:rFonts w:ascii="Verdana" w:hAnsi="Verdana"/>
          <w:sz w:val="20"/>
          <w:szCs w:val="20"/>
        </w:rPr>
        <w:t>7</w:t>
      </w:r>
      <w:r w:rsidR="0007093E">
        <w:rPr>
          <w:rFonts w:ascii="Verdana" w:hAnsi="Verdana"/>
          <w:sz w:val="20"/>
          <w:szCs w:val="20"/>
        </w:rPr>
        <w:t>4</w:t>
      </w:r>
      <w:r w:rsidRPr="006A4FD4">
        <w:rPr>
          <w:rFonts w:ascii="Verdana" w:hAnsi="Verdana"/>
          <w:sz w:val="20"/>
          <w:szCs w:val="20"/>
        </w:rPr>
        <w:t>.</w:t>
      </w:r>
    </w:p>
    <w:p w14:paraId="17F62355" w14:textId="7F23D05C" w:rsidR="009E2734" w:rsidRDefault="0007093E" w:rsidP="009E2734">
      <w:pPr>
        <w:jc w:val="both"/>
        <w:rPr>
          <w:rFonts w:ascii="Verdana" w:hAnsi="Verdana"/>
          <w:sz w:val="20"/>
          <w:szCs w:val="20"/>
        </w:rPr>
      </w:pPr>
      <w:r w:rsidRPr="0007093E">
        <w:rPr>
          <w:rFonts w:ascii="Verdana" w:hAnsi="Verdana"/>
          <w:sz w:val="20"/>
          <w:szCs w:val="20"/>
        </w:rPr>
        <w:t>Adicionalmente, se sugiere que el modelo tenga en cuenta los siguientes aspectos:</w:t>
      </w:r>
    </w:p>
    <w:p w14:paraId="1C9FB407" w14:textId="77777777" w:rsidR="00222CBD" w:rsidRDefault="000D7984" w:rsidP="00222CBD">
      <w:pPr>
        <w:pStyle w:val="Prrafodelista"/>
        <w:numPr>
          <w:ilvl w:val="0"/>
          <w:numId w:val="63"/>
        </w:numPr>
        <w:ind w:left="567" w:hanging="567"/>
        <w:jc w:val="both"/>
        <w:rPr>
          <w:rFonts w:ascii="Verdana" w:hAnsi="Verdana"/>
          <w:sz w:val="20"/>
          <w:szCs w:val="20"/>
        </w:rPr>
      </w:pPr>
      <w:r w:rsidRPr="000D7984">
        <w:rPr>
          <w:rFonts w:ascii="Verdana" w:hAnsi="Verdana"/>
          <w:sz w:val="20"/>
          <w:szCs w:val="20"/>
        </w:rPr>
        <w:t>Para la estimación del IRL o de alguno de sus componentes, adoptar tanto enfoques paramétricos como no paramétricos (simulaciones históricas, simulaciones de Monte Carlo, entre otros).</w:t>
      </w:r>
    </w:p>
    <w:p w14:paraId="27E5B934" w14:textId="77777777" w:rsidR="00222CBD" w:rsidRDefault="00222CBD" w:rsidP="00222CBD">
      <w:pPr>
        <w:pStyle w:val="Prrafodelista"/>
        <w:ind w:left="567"/>
        <w:jc w:val="both"/>
        <w:rPr>
          <w:rFonts w:ascii="Verdana" w:hAnsi="Verdana"/>
          <w:sz w:val="20"/>
          <w:szCs w:val="20"/>
        </w:rPr>
      </w:pPr>
    </w:p>
    <w:p w14:paraId="0EBCBD39" w14:textId="3A0AF18F" w:rsidR="00222CBD" w:rsidRDefault="00222CBD" w:rsidP="00222CBD">
      <w:pPr>
        <w:pStyle w:val="Prrafodelista"/>
        <w:numPr>
          <w:ilvl w:val="0"/>
          <w:numId w:val="63"/>
        </w:numPr>
        <w:ind w:left="567" w:hanging="567"/>
        <w:jc w:val="both"/>
        <w:rPr>
          <w:rFonts w:ascii="Verdana" w:hAnsi="Verdana"/>
          <w:sz w:val="20"/>
          <w:szCs w:val="20"/>
        </w:rPr>
      </w:pPr>
      <w:r w:rsidRPr="00222CBD">
        <w:rPr>
          <w:rFonts w:ascii="Verdana" w:hAnsi="Verdana"/>
          <w:sz w:val="20"/>
          <w:szCs w:val="20"/>
        </w:rPr>
        <w:t xml:space="preserve">Ser parcial o completamente diferente a la metodología estándar establecida en la </w:t>
      </w:r>
      <w:r w:rsidR="00180DCB">
        <w:rPr>
          <w:rFonts w:ascii="Verdana" w:hAnsi="Verdana"/>
          <w:sz w:val="20"/>
          <w:szCs w:val="20"/>
        </w:rPr>
        <w:t>sección 3 del presente capítulo</w:t>
      </w:r>
      <w:r w:rsidRPr="00222CBD">
        <w:rPr>
          <w:rFonts w:ascii="Verdana" w:hAnsi="Verdana"/>
          <w:sz w:val="20"/>
          <w:szCs w:val="20"/>
        </w:rPr>
        <w:t xml:space="preserve"> y/o contener parámetros o metodologías distintas para el cálculo de los componentes del Indicador de Riesgo de Liquidez.</w:t>
      </w:r>
    </w:p>
    <w:p w14:paraId="79B3F57E" w14:textId="77777777" w:rsidR="00222CBD" w:rsidRPr="00222CBD" w:rsidRDefault="00222CBD" w:rsidP="00222CBD">
      <w:pPr>
        <w:pStyle w:val="Prrafodelista"/>
        <w:rPr>
          <w:rFonts w:ascii="Verdana" w:hAnsi="Verdana"/>
          <w:sz w:val="20"/>
          <w:szCs w:val="20"/>
        </w:rPr>
      </w:pPr>
    </w:p>
    <w:p w14:paraId="66058CAF" w14:textId="77777777" w:rsidR="00222CBD" w:rsidRDefault="00222CBD" w:rsidP="00222CBD">
      <w:pPr>
        <w:pStyle w:val="Prrafodelista"/>
        <w:numPr>
          <w:ilvl w:val="0"/>
          <w:numId w:val="63"/>
        </w:numPr>
        <w:ind w:left="567" w:hanging="567"/>
        <w:jc w:val="both"/>
        <w:rPr>
          <w:rFonts w:ascii="Verdana" w:hAnsi="Verdana"/>
          <w:sz w:val="20"/>
          <w:szCs w:val="20"/>
        </w:rPr>
      </w:pPr>
      <w:r w:rsidRPr="00222CBD">
        <w:rPr>
          <w:rFonts w:ascii="Verdana" w:hAnsi="Verdana"/>
          <w:sz w:val="20"/>
          <w:szCs w:val="20"/>
        </w:rPr>
        <w:t xml:space="preserve">Tener en cuenta entre otros, cálculos de volatilidades, globales o específicas, de las fuentes de fondeo; comportamientos diferenciados por productos, línea de negocio y/o actividad significativa, nichos o características de los clientes; aplicación de indicadores de prepagos, retrasos, renovaciones de depósitos, entre otros; cuantificación específica del eventual impacto por liquidez de mercado o del </w:t>
      </w:r>
      <w:proofErr w:type="spellStart"/>
      <w:r w:rsidRPr="00222CBD">
        <w:rPr>
          <w:rFonts w:ascii="Verdana" w:hAnsi="Verdana"/>
          <w:i/>
          <w:iCs/>
          <w:sz w:val="20"/>
          <w:szCs w:val="20"/>
        </w:rPr>
        <w:t>haircut</w:t>
      </w:r>
      <w:proofErr w:type="spellEnd"/>
      <w:r w:rsidRPr="00222CBD">
        <w:rPr>
          <w:rFonts w:ascii="Verdana" w:hAnsi="Verdana"/>
          <w:i/>
          <w:iCs/>
          <w:sz w:val="20"/>
          <w:szCs w:val="20"/>
        </w:rPr>
        <w:t xml:space="preserve"> </w:t>
      </w:r>
      <w:r w:rsidRPr="00222CBD">
        <w:rPr>
          <w:rFonts w:ascii="Verdana" w:hAnsi="Verdana"/>
          <w:sz w:val="20"/>
          <w:szCs w:val="20"/>
        </w:rPr>
        <w:t>por riesgo cambiario que deba utilizar la entidad para ajustar sus activos líquidos, siempre fundamentado en la utilización de información histórica sobre el comportamiento de tales variables en la propia entidad y, si lo considera, en el uso de criterio experto.</w:t>
      </w:r>
    </w:p>
    <w:p w14:paraId="7DF2FAA6" w14:textId="77777777" w:rsidR="00222CBD" w:rsidRPr="00222CBD" w:rsidRDefault="00222CBD" w:rsidP="00222CBD">
      <w:pPr>
        <w:pStyle w:val="Prrafodelista"/>
        <w:rPr>
          <w:rFonts w:ascii="Verdana" w:hAnsi="Verdana"/>
          <w:sz w:val="20"/>
          <w:szCs w:val="20"/>
        </w:rPr>
      </w:pPr>
    </w:p>
    <w:p w14:paraId="3D8A0420" w14:textId="20603BA7" w:rsidR="002F3106" w:rsidRDefault="00222CBD" w:rsidP="002F3106">
      <w:pPr>
        <w:pStyle w:val="Prrafodelista"/>
        <w:numPr>
          <w:ilvl w:val="0"/>
          <w:numId w:val="63"/>
        </w:numPr>
        <w:ind w:left="567" w:hanging="567"/>
        <w:jc w:val="both"/>
        <w:rPr>
          <w:rFonts w:ascii="Verdana" w:hAnsi="Verdana"/>
          <w:sz w:val="20"/>
          <w:szCs w:val="20"/>
        </w:rPr>
      </w:pPr>
      <w:r w:rsidRPr="00222CBD">
        <w:rPr>
          <w:rFonts w:ascii="Verdana" w:hAnsi="Verdana"/>
          <w:sz w:val="20"/>
          <w:szCs w:val="20"/>
        </w:rPr>
        <w:t xml:space="preserve">Considerar proyecciones de nuevos ingresos y egresos, además de las que implícitamente pueden resultar por la aplicación o ajuste de las cifras mediante indicadores históricos del tipo que se señala </w:t>
      </w:r>
      <w:r w:rsidR="009C7D85" w:rsidRPr="00504334">
        <w:rPr>
          <w:rFonts w:ascii="Verdana" w:hAnsi="Verdana"/>
          <w:sz w:val="20"/>
          <w:szCs w:val="20"/>
        </w:rPr>
        <w:t>en</w:t>
      </w:r>
      <w:r w:rsidR="009C7D85">
        <w:rPr>
          <w:rFonts w:ascii="Verdana" w:hAnsi="Verdana"/>
          <w:sz w:val="20"/>
          <w:szCs w:val="20"/>
        </w:rPr>
        <w:t>tre los párrafos 1.1.2.173. y 1.1.2.179</w:t>
      </w:r>
      <w:r w:rsidRPr="00222CBD">
        <w:rPr>
          <w:rFonts w:ascii="Verdana" w:hAnsi="Verdana"/>
          <w:sz w:val="20"/>
          <w:szCs w:val="20"/>
        </w:rPr>
        <w:t xml:space="preserve">. La forma de efectuar tales proyecciones y los supuestos sobre los que descansan deben ser explícitos, claros y sustentables por la entidad. Dada la importancia de los supuestos en la proyección de los flujos futuros de caja, éstos </w:t>
      </w:r>
      <w:r w:rsidRPr="00222CBD">
        <w:rPr>
          <w:rFonts w:ascii="Verdana" w:hAnsi="Verdana"/>
          <w:sz w:val="20"/>
          <w:szCs w:val="20"/>
        </w:rPr>
        <w:lastRenderedPageBreak/>
        <w:t>deben ser razonables, apropiados, documentados y periódicamente revisados, actualizados y aprobados.</w:t>
      </w:r>
    </w:p>
    <w:p w14:paraId="2FAA1DEE" w14:textId="77777777" w:rsidR="002F3106" w:rsidRPr="002F3106" w:rsidRDefault="002F3106" w:rsidP="002F3106">
      <w:pPr>
        <w:pStyle w:val="Prrafodelista"/>
        <w:rPr>
          <w:rFonts w:ascii="Verdana" w:hAnsi="Verdana"/>
          <w:sz w:val="20"/>
          <w:szCs w:val="20"/>
        </w:rPr>
      </w:pPr>
    </w:p>
    <w:p w14:paraId="67E55C0F" w14:textId="60FE59EB" w:rsidR="00F055C2" w:rsidRDefault="007931D8" w:rsidP="00F055C2">
      <w:pPr>
        <w:pStyle w:val="Prrafodelista"/>
        <w:numPr>
          <w:ilvl w:val="1"/>
          <w:numId w:val="2"/>
        </w:numPr>
        <w:ind w:left="567" w:hanging="283"/>
        <w:jc w:val="both"/>
        <w:rPr>
          <w:rFonts w:ascii="Verdana" w:hAnsi="Verdana"/>
          <w:b/>
          <w:bCs/>
          <w:sz w:val="20"/>
          <w:szCs w:val="20"/>
        </w:rPr>
      </w:pPr>
      <w:r w:rsidRPr="007931D8">
        <w:rPr>
          <w:rFonts w:ascii="Verdana" w:hAnsi="Verdana"/>
          <w:b/>
          <w:bCs/>
          <w:sz w:val="20"/>
          <w:szCs w:val="20"/>
        </w:rPr>
        <w:t>Pruebas de desempeño</w:t>
      </w:r>
    </w:p>
    <w:p w14:paraId="65099A6B" w14:textId="0B1DE69F" w:rsidR="00F055C2" w:rsidRPr="006A4FD4" w:rsidRDefault="00F055C2" w:rsidP="00F055C2">
      <w:pPr>
        <w:spacing w:after="0"/>
        <w:jc w:val="both"/>
        <w:rPr>
          <w:rFonts w:ascii="Verdana" w:hAnsi="Verdana"/>
          <w:sz w:val="20"/>
          <w:szCs w:val="20"/>
        </w:rPr>
      </w:pPr>
      <w:r w:rsidRPr="006A4FD4">
        <w:rPr>
          <w:rFonts w:ascii="Verdana" w:hAnsi="Verdana"/>
          <w:sz w:val="20"/>
          <w:szCs w:val="20"/>
        </w:rPr>
        <w:t>1.1.2</w:t>
      </w:r>
      <w:r w:rsidRPr="00F07A24">
        <w:rPr>
          <w:rFonts w:ascii="Verdana" w:hAnsi="Verdana"/>
          <w:sz w:val="20"/>
          <w:szCs w:val="20"/>
        </w:rPr>
        <w:t>.1</w:t>
      </w:r>
      <w:r w:rsidR="007931D8" w:rsidRPr="00F07A24">
        <w:rPr>
          <w:rFonts w:ascii="Verdana" w:hAnsi="Verdana"/>
          <w:sz w:val="20"/>
          <w:szCs w:val="20"/>
        </w:rPr>
        <w:t>75</w:t>
      </w:r>
      <w:r w:rsidRPr="00F07A24">
        <w:rPr>
          <w:rFonts w:ascii="Verdana" w:hAnsi="Verdana"/>
          <w:sz w:val="20"/>
          <w:szCs w:val="20"/>
        </w:rPr>
        <w:t>.</w:t>
      </w:r>
    </w:p>
    <w:p w14:paraId="3C75D516" w14:textId="742772C5" w:rsidR="00F055C2" w:rsidRDefault="0060352A" w:rsidP="00F055C2">
      <w:pPr>
        <w:jc w:val="both"/>
        <w:rPr>
          <w:rFonts w:ascii="Verdana" w:hAnsi="Verdana"/>
          <w:sz w:val="20"/>
          <w:szCs w:val="20"/>
        </w:rPr>
      </w:pPr>
      <w:r w:rsidRPr="0060352A">
        <w:rPr>
          <w:rFonts w:ascii="Verdana" w:hAnsi="Verdana"/>
          <w:sz w:val="20"/>
          <w:szCs w:val="20"/>
        </w:rPr>
        <w:t xml:space="preserve">Las pruebas de desempeño de los modelos internos tienen como propósito determinar la consistencia y confiabilidad de los modelos e indicadores de riesgo de liquidez estimados. Estas pruebas consisten fundamentalmente en un proceso de revisión permanente por parte de la entidad sobre el modelo interno utilizado y de la validación de los supuestos, parámetros y juicios expertos subyacentes al cálculo del indicador de riesgo de liquidez. Cuando existan parámetros del modelo que la entidad estime mediante la utilización de procesos estadísticos, las pruebas de desempeño exigen que la entidad compare, también con base en pruebas estadísticas, las proyecciones de tales parámetros con los valores </w:t>
      </w:r>
      <w:proofErr w:type="spellStart"/>
      <w:r w:rsidRPr="00F07A24">
        <w:rPr>
          <w:rFonts w:ascii="Verdana" w:hAnsi="Verdana"/>
          <w:i/>
          <w:iCs/>
          <w:sz w:val="20"/>
          <w:szCs w:val="20"/>
        </w:rPr>
        <w:t>ex-post</w:t>
      </w:r>
      <w:proofErr w:type="spellEnd"/>
      <w:r w:rsidRPr="0060352A">
        <w:rPr>
          <w:rFonts w:ascii="Verdana" w:hAnsi="Verdana"/>
          <w:sz w:val="20"/>
          <w:szCs w:val="20"/>
        </w:rPr>
        <w:t xml:space="preserve"> efectivamente verificados en el período que se trate y efectúe los ajustes que se consideren pertinentes en el modelo</w:t>
      </w:r>
      <w:r>
        <w:rPr>
          <w:rFonts w:ascii="Verdana" w:hAnsi="Verdana"/>
          <w:sz w:val="20"/>
          <w:szCs w:val="20"/>
        </w:rPr>
        <w:t>.</w:t>
      </w:r>
      <w:r w:rsidR="00F055C2" w:rsidRPr="00604F4B">
        <w:rPr>
          <w:rFonts w:ascii="Verdana" w:hAnsi="Verdana"/>
          <w:sz w:val="20"/>
          <w:szCs w:val="20"/>
        </w:rPr>
        <w:t xml:space="preserve"> </w:t>
      </w:r>
    </w:p>
    <w:p w14:paraId="5811E36A" w14:textId="61A50CC6" w:rsidR="00E8785F" w:rsidRPr="006A4FD4" w:rsidRDefault="00E8785F" w:rsidP="00E8785F">
      <w:pPr>
        <w:spacing w:after="0"/>
        <w:jc w:val="both"/>
        <w:rPr>
          <w:rFonts w:ascii="Verdana" w:hAnsi="Verdana"/>
          <w:sz w:val="20"/>
          <w:szCs w:val="20"/>
        </w:rPr>
      </w:pPr>
      <w:r w:rsidRPr="006A4FD4">
        <w:rPr>
          <w:rFonts w:ascii="Verdana" w:hAnsi="Verdana"/>
          <w:sz w:val="20"/>
          <w:szCs w:val="20"/>
        </w:rPr>
        <w:t>1.1.2.1</w:t>
      </w:r>
      <w:r>
        <w:rPr>
          <w:rFonts w:ascii="Verdana" w:hAnsi="Verdana"/>
          <w:sz w:val="20"/>
          <w:szCs w:val="20"/>
        </w:rPr>
        <w:t>7</w:t>
      </w:r>
      <w:r w:rsidR="00AD452C">
        <w:rPr>
          <w:rFonts w:ascii="Verdana" w:hAnsi="Verdana"/>
          <w:sz w:val="20"/>
          <w:szCs w:val="20"/>
        </w:rPr>
        <w:t>6</w:t>
      </w:r>
      <w:r w:rsidRPr="006A4FD4">
        <w:rPr>
          <w:rFonts w:ascii="Verdana" w:hAnsi="Verdana"/>
          <w:sz w:val="20"/>
          <w:szCs w:val="20"/>
        </w:rPr>
        <w:t>.</w:t>
      </w:r>
    </w:p>
    <w:p w14:paraId="295E6BA9" w14:textId="3DE428D4" w:rsidR="00E8785F" w:rsidRDefault="00E8785F" w:rsidP="00F055C2">
      <w:pPr>
        <w:jc w:val="both"/>
        <w:rPr>
          <w:rFonts w:ascii="Verdana" w:hAnsi="Verdana"/>
          <w:sz w:val="20"/>
          <w:szCs w:val="20"/>
        </w:rPr>
      </w:pPr>
      <w:r w:rsidRPr="0060352A">
        <w:rPr>
          <w:rFonts w:ascii="Verdana" w:hAnsi="Verdana"/>
          <w:sz w:val="20"/>
          <w:szCs w:val="20"/>
        </w:rPr>
        <w:t>Las prueba</w:t>
      </w:r>
      <w:r>
        <w:rPr>
          <w:rFonts w:ascii="Verdana" w:hAnsi="Verdana"/>
          <w:sz w:val="20"/>
          <w:szCs w:val="20"/>
        </w:rPr>
        <w:t xml:space="preserve">s de </w:t>
      </w:r>
      <w:r w:rsidRPr="00E8785F">
        <w:rPr>
          <w:rFonts w:ascii="Verdana" w:hAnsi="Verdana"/>
          <w:sz w:val="20"/>
          <w:szCs w:val="20"/>
        </w:rPr>
        <w:t>desempeño deben realizarse al menos una vez al mes. Los resultados de las pruebas y la metodología empleada por la entidad para su realización deben estar documentados y a disposición de la SFC.</w:t>
      </w:r>
    </w:p>
    <w:p w14:paraId="0F7C7B25" w14:textId="1115F533" w:rsidR="00F055C2" w:rsidRDefault="00AD452C" w:rsidP="00F055C2">
      <w:pPr>
        <w:pStyle w:val="Prrafodelista"/>
        <w:numPr>
          <w:ilvl w:val="1"/>
          <w:numId w:val="2"/>
        </w:numPr>
        <w:ind w:left="567" w:hanging="283"/>
        <w:jc w:val="both"/>
        <w:rPr>
          <w:rFonts w:ascii="Verdana" w:hAnsi="Verdana"/>
          <w:b/>
          <w:bCs/>
          <w:sz w:val="20"/>
          <w:szCs w:val="20"/>
        </w:rPr>
      </w:pPr>
      <w:r>
        <w:rPr>
          <w:rFonts w:ascii="Verdana" w:hAnsi="Verdana"/>
          <w:b/>
          <w:bCs/>
          <w:sz w:val="20"/>
          <w:szCs w:val="20"/>
        </w:rPr>
        <w:t>Pruebas de estrés</w:t>
      </w:r>
    </w:p>
    <w:p w14:paraId="358CFF3A" w14:textId="463F6106" w:rsidR="00F055C2" w:rsidRPr="006A4FD4" w:rsidRDefault="00F055C2" w:rsidP="00F055C2">
      <w:pPr>
        <w:spacing w:after="0"/>
        <w:jc w:val="both"/>
        <w:rPr>
          <w:rFonts w:ascii="Verdana" w:hAnsi="Verdana"/>
          <w:sz w:val="20"/>
          <w:szCs w:val="20"/>
        </w:rPr>
      </w:pPr>
      <w:r w:rsidRPr="006A4FD4">
        <w:rPr>
          <w:rFonts w:ascii="Verdana" w:hAnsi="Verdana"/>
          <w:sz w:val="20"/>
          <w:szCs w:val="20"/>
        </w:rPr>
        <w:t>1.1.2.1</w:t>
      </w:r>
      <w:r w:rsidR="007931D8">
        <w:rPr>
          <w:rFonts w:ascii="Verdana" w:hAnsi="Verdana"/>
          <w:sz w:val="20"/>
          <w:szCs w:val="20"/>
        </w:rPr>
        <w:t>7</w:t>
      </w:r>
      <w:r w:rsidR="00AD452C">
        <w:rPr>
          <w:rFonts w:ascii="Verdana" w:hAnsi="Verdana"/>
          <w:sz w:val="20"/>
          <w:szCs w:val="20"/>
        </w:rPr>
        <w:t>7</w:t>
      </w:r>
      <w:r w:rsidRPr="006A4FD4">
        <w:rPr>
          <w:rFonts w:ascii="Verdana" w:hAnsi="Verdana"/>
          <w:sz w:val="20"/>
          <w:szCs w:val="20"/>
        </w:rPr>
        <w:t>.</w:t>
      </w:r>
    </w:p>
    <w:p w14:paraId="0B5149E4" w14:textId="1CB9384B" w:rsidR="00395CB8" w:rsidRDefault="00395CB8" w:rsidP="00F055C2">
      <w:pPr>
        <w:jc w:val="both"/>
        <w:rPr>
          <w:rFonts w:ascii="Verdana" w:hAnsi="Verdana"/>
          <w:sz w:val="20"/>
          <w:szCs w:val="20"/>
        </w:rPr>
      </w:pPr>
      <w:r w:rsidRPr="00395CB8">
        <w:rPr>
          <w:rFonts w:ascii="Verdana" w:hAnsi="Verdana"/>
          <w:sz w:val="20"/>
          <w:szCs w:val="20"/>
        </w:rPr>
        <w:t>La entidad debe realizar pruebas de estrés que le permita evaluar su resiliencia ante escenarios adversos en los que se afecte su liquidez y la del sistema, a partir de la identificación de los niveles de liquidez y los descalces en diferentes horizontes de tiempo y la cuantificación de las exposiciones a futuras crisis de liquidez y el impacto sobre los flujos de caja de la entidad, la rentabilidad y la solvencia, según corresponda. Este análisis debe cumplir con los siguientes criterios:</w:t>
      </w:r>
    </w:p>
    <w:p w14:paraId="18F0346C" w14:textId="77777777" w:rsidR="001A1E94" w:rsidRDefault="001A1E94" w:rsidP="001A1E94">
      <w:pPr>
        <w:pStyle w:val="Prrafodelista"/>
        <w:numPr>
          <w:ilvl w:val="1"/>
          <w:numId w:val="63"/>
        </w:numPr>
        <w:ind w:left="567" w:hanging="567"/>
        <w:jc w:val="both"/>
        <w:rPr>
          <w:rFonts w:ascii="Verdana" w:hAnsi="Verdana"/>
          <w:sz w:val="20"/>
          <w:szCs w:val="20"/>
        </w:rPr>
      </w:pPr>
      <w:r w:rsidRPr="001A1E94">
        <w:rPr>
          <w:rFonts w:ascii="Verdana" w:hAnsi="Verdana"/>
          <w:sz w:val="20"/>
          <w:szCs w:val="20"/>
        </w:rPr>
        <w:t>Hacerse a nivel de línea de negocio, individual y consolidado. También debe incluirse la posible respuesta e impacto de otros participantes del mercado, relevantes para la entidad.</w:t>
      </w:r>
    </w:p>
    <w:p w14:paraId="7506C799" w14:textId="77777777" w:rsidR="001A1E94" w:rsidRDefault="001A1E94" w:rsidP="001A1E94">
      <w:pPr>
        <w:pStyle w:val="Prrafodelista"/>
        <w:ind w:left="567"/>
        <w:jc w:val="both"/>
        <w:rPr>
          <w:rFonts w:ascii="Verdana" w:hAnsi="Verdana"/>
          <w:sz w:val="20"/>
          <w:szCs w:val="20"/>
        </w:rPr>
      </w:pPr>
    </w:p>
    <w:p w14:paraId="65EAE2AC" w14:textId="77777777" w:rsidR="001A1E94" w:rsidRDefault="001A1E94" w:rsidP="001A1E94">
      <w:pPr>
        <w:pStyle w:val="Prrafodelista"/>
        <w:numPr>
          <w:ilvl w:val="1"/>
          <w:numId w:val="63"/>
        </w:numPr>
        <w:ind w:left="567" w:hanging="567"/>
        <w:jc w:val="both"/>
        <w:rPr>
          <w:rFonts w:ascii="Verdana" w:hAnsi="Verdana"/>
          <w:sz w:val="20"/>
          <w:szCs w:val="20"/>
        </w:rPr>
      </w:pPr>
      <w:r w:rsidRPr="001A1E94">
        <w:rPr>
          <w:rFonts w:ascii="Verdana" w:hAnsi="Verdana"/>
          <w:sz w:val="20"/>
          <w:szCs w:val="20"/>
        </w:rPr>
        <w:t>Los modelos diseñados e implementados para el desarrollo de las pruebas deben corresponder con el tamaño, complejidad, importancia sistémica, perfil y apetito de riesgo de la entidad, así como ser robustos estadísticamente y constituir un insumo en la toma de decisiones sobre la gestión de riesgos y en el desarrollo del plan de contingencia.</w:t>
      </w:r>
    </w:p>
    <w:p w14:paraId="7F06C4A9" w14:textId="77777777" w:rsidR="001A1E94" w:rsidRPr="001A1E94" w:rsidRDefault="001A1E94" w:rsidP="001A1E94">
      <w:pPr>
        <w:pStyle w:val="Prrafodelista"/>
        <w:rPr>
          <w:rFonts w:ascii="Verdana" w:hAnsi="Verdana"/>
          <w:sz w:val="20"/>
          <w:szCs w:val="20"/>
        </w:rPr>
      </w:pPr>
    </w:p>
    <w:p w14:paraId="0751C6B2" w14:textId="77777777" w:rsidR="001A1E94" w:rsidRDefault="001A1E94" w:rsidP="001A1E94">
      <w:pPr>
        <w:pStyle w:val="Prrafodelista"/>
        <w:numPr>
          <w:ilvl w:val="1"/>
          <w:numId w:val="63"/>
        </w:numPr>
        <w:ind w:left="567" w:hanging="567"/>
        <w:jc w:val="both"/>
        <w:rPr>
          <w:rFonts w:ascii="Verdana" w:hAnsi="Verdana"/>
          <w:sz w:val="20"/>
          <w:szCs w:val="20"/>
        </w:rPr>
      </w:pPr>
      <w:r w:rsidRPr="001A1E94">
        <w:rPr>
          <w:rFonts w:ascii="Verdana" w:hAnsi="Verdana"/>
          <w:sz w:val="20"/>
          <w:szCs w:val="20"/>
        </w:rPr>
        <w:t>La frecuencia de las pruebas de estrés, su revisión y actualización dependen del tamaño de la entidad, de la importancia relativa dentro del sistema y del nivel de exposición al riesgo de liquidez. Dicha frecuencia debe ser como mínimo trimestral. La entidad debe estar en capacidad de aumentar la periodicidad de las pruebas bajo escenarios especiales como cambios en las condiciones del mercado, de crisis o por requerimiento de la SFC.</w:t>
      </w:r>
    </w:p>
    <w:p w14:paraId="6740594D" w14:textId="77777777" w:rsidR="001A1E94" w:rsidRPr="001A1E94" w:rsidRDefault="001A1E94" w:rsidP="001A1E94">
      <w:pPr>
        <w:pStyle w:val="Prrafodelista"/>
        <w:rPr>
          <w:rFonts w:ascii="Verdana" w:hAnsi="Verdana"/>
          <w:sz w:val="20"/>
          <w:szCs w:val="20"/>
        </w:rPr>
      </w:pPr>
    </w:p>
    <w:p w14:paraId="1A38EDDE" w14:textId="7A9AF522" w:rsidR="00395CB8" w:rsidRPr="00AB00A0" w:rsidRDefault="001A1E94" w:rsidP="00F055C2">
      <w:pPr>
        <w:pStyle w:val="Prrafodelista"/>
        <w:numPr>
          <w:ilvl w:val="1"/>
          <w:numId w:val="63"/>
        </w:numPr>
        <w:ind w:left="567" w:hanging="567"/>
        <w:jc w:val="both"/>
        <w:rPr>
          <w:rFonts w:ascii="Verdana" w:hAnsi="Verdana"/>
          <w:sz w:val="20"/>
          <w:szCs w:val="20"/>
        </w:rPr>
      </w:pPr>
      <w:r w:rsidRPr="001A1E94">
        <w:rPr>
          <w:rFonts w:ascii="Verdana" w:hAnsi="Verdana"/>
          <w:sz w:val="20"/>
          <w:szCs w:val="20"/>
        </w:rPr>
        <w:t xml:space="preserve">Las pruebas deben contemplar escenarios con niveles de severidad (medio, alto y extremo), que deben incluir como mínimo situaciones tales como desaceleración económica, concentración en activos y pasivos, ampliación de los márgenes de tasas en </w:t>
      </w:r>
      <w:r w:rsidR="006402C6">
        <w:rPr>
          <w:rFonts w:ascii="Verdana" w:hAnsi="Verdana"/>
          <w:sz w:val="20"/>
          <w:szCs w:val="20"/>
        </w:rPr>
        <w:t xml:space="preserve">el </w:t>
      </w:r>
      <w:r w:rsidRPr="001A1E94">
        <w:rPr>
          <w:rFonts w:ascii="Verdana" w:hAnsi="Verdana"/>
          <w:sz w:val="20"/>
          <w:szCs w:val="20"/>
        </w:rPr>
        <w:t xml:space="preserve">mercado secundario, incremento en los costos de fondeo, disminución de </w:t>
      </w:r>
      <w:r w:rsidR="007138B7">
        <w:rPr>
          <w:rFonts w:ascii="Verdana" w:hAnsi="Verdana"/>
          <w:sz w:val="20"/>
          <w:szCs w:val="20"/>
        </w:rPr>
        <w:t xml:space="preserve">la </w:t>
      </w:r>
      <w:r w:rsidRPr="001A1E94">
        <w:rPr>
          <w:rFonts w:ascii="Verdana" w:hAnsi="Verdana"/>
          <w:sz w:val="20"/>
          <w:szCs w:val="20"/>
        </w:rPr>
        <w:t>calificación</w:t>
      </w:r>
      <w:r w:rsidR="007138B7">
        <w:rPr>
          <w:rFonts w:ascii="Verdana" w:hAnsi="Verdana"/>
          <w:sz w:val="20"/>
          <w:szCs w:val="20"/>
        </w:rPr>
        <w:t xml:space="preserve"> de riesgo</w:t>
      </w:r>
      <w:r w:rsidRPr="001A1E94">
        <w:rPr>
          <w:rFonts w:ascii="Verdana" w:hAnsi="Verdana"/>
          <w:sz w:val="20"/>
          <w:szCs w:val="20"/>
        </w:rPr>
        <w:t xml:space="preserve">, disminución en la fuentes de fondeo disponible, incremento de los retiros anticipados, aumento de los indicadores de morosidad, requerimientos adicionales de colateral </w:t>
      </w:r>
      <w:r w:rsidR="00040226">
        <w:rPr>
          <w:rFonts w:ascii="Verdana" w:hAnsi="Verdana"/>
          <w:sz w:val="20"/>
          <w:szCs w:val="20"/>
        </w:rPr>
        <w:t xml:space="preserve">en las </w:t>
      </w:r>
      <w:r w:rsidRPr="001A1E94">
        <w:rPr>
          <w:rFonts w:ascii="Verdana" w:hAnsi="Verdana"/>
          <w:sz w:val="20"/>
          <w:szCs w:val="20"/>
        </w:rPr>
        <w:t>operaciones de mercado monetario y situaciones de riesgo reputacional</w:t>
      </w:r>
      <w:r w:rsidR="00040226">
        <w:rPr>
          <w:rFonts w:ascii="Verdana" w:hAnsi="Verdana"/>
          <w:sz w:val="20"/>
          <w:szCs w:val="20"/>
        </w:rPr>
        <w:t>, entre otros</w:t>
      </w:r>
      <w:r w:rsidRPr="001A1E94">
        <w:rPr>
          <w:rFonts w:ascii="Verdana" w:hAnsi="Verdana"/>
          <w:sz w:val="20"/>
          <w:szCs w:val="20"/>
        </w:rPr>
        <w:t>.</w:t>
      </w:r>
    </w:p>
    <w:p w14:paraId="08006622" w14:textId="4D819CBE" w:rsidR="00F055C2" w:rsidRPr="0086035E" w:rsidRDefault="00F055C2" w:rsidP="00F055C2">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7931D8">
        <w:rPr>
          <w:rFonts w:ascii="Verdana" w:hAnsi="Verdana"/>
          <w:sz w:val="20"/>
          <w:szCs w:val="20"/>
        </w:rPr>
        <w:t>7</w:t>
      </w:r>
      <w:r w:rsidR="00AD452C">
        <w:rPr>
          <w:rFonts w:ascii="Verdana" w:hAnsi="Verdana"/>
          <w:sz w:val="20"/>
          <w:szCs w:val="20"/>
        </w:rPr>
        <w:t>8</w:t>
      </w:r>
      <w:r w:rsidRPr="0086035E">
        <w:rPr>
          <w:rFonts w:ascii="Verdana" w:hAnsi="Verdana"/>
          <w:sz w:val="20"/>
          <w:szCs w:val="20"/>
        </w:rPr>
        <w:t>.</w:t>
      </w:r>
    </w:p>
    <w:p w14:paraId="125AD808" w14:textId="0D3FA657" w:rsidR="00F055C2" w:rsidRPr="00007259" w:rsidRDefault="00D70B9B" w:rsidP="00F055C2">
      <w:pPr>
        <w:jc w:val="both"/>
        <w:rPr>
          <w:rFonts w:ascii="Verdana" w:hAnsi="Verdana"/>
          <w:sz w:val="20"/>
          <w:szCs w:val="20"/>
        </w:rPr>
      </w:pPr>
      <w:r w:rsidRPr="00D70B9B">
        <w:rPr>
          <w:rFonts w:ascii="Verdana" w:hAnsi="Verdana"/>
          <w:sz w:val="20"/>
          <w:szCs w:val="20"/>
        </w:rPr>
        <w:t>Los resultados de las pruebas de estrés en cada escenario deben servir para generar indicadores que activen el correspondiente plan de contingencia.</w:t>
      </w:r>
    </w:p>
    <w:p w14:paraId="421E6ECB" w14:textId="0BEA2356" w:rsidR="00F055C2" w:rsidRPr="0086035E" w:rsidRDefault="00F055C2" w:rsidP="00F055C2">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7</w:t>
      </w:r>
      <w:r w:rsidR="00AD452C">
        <w:rPr>
          <w:rFonts w:ascii="Verdana" w:hAnsi="Verdana"/>
          <w:sz w:val="20"/>
          <w:szCs w:val="20"/>
        </w:rPr>
        <w:t>9</w:t>
      </w:r>
      <w:r w:rsidRPr="0086035E">
        <w:rPr>
          <w:rFonts w:ascii="Verdana" w:hAnsi="Verdana"/>
          <w:sz w:val="20"/>
          <w:szCs w:val="20"/>
        </w:rPr>
        <w:t>.</w:t>
      </w:r>
    </w:p>
    <w:p w14:paraId="248D2AF4" w14:textId="438F7800" w:rsidR="00F055C2" w:rsidRDefault="000F003E" w:rsidP="00F055C2">
      <w:pPr>
        <w:jc w:val="both"/>
        <w:rPr>
          <w:rFonts w:ascii="Verdana" w:hAnsi="Verdana"/>
          <w:sz w:val="20"/>
          <w:szCs w:val="20"/>
        </w:rPr>
      </w:pPr>
      <w:r w:rsidRPr="000F003E">
        <w:rPr>
          <w:rFonts w:ascii="Verdana" w:hAnsi="Verdana"/>
          <w:sz w:val="20"/>
          <w:szCs w:val="20"/>
        </w:rPr>
        <w:t>Los supuestos, parámetros, análisis, medición y resultados de estas pruebas deben encontrarse documentados y a disposición de la SFC</w:t>
      </w:r>
      <w:r>
        <w:rPr>
          <w:rFonts w:ascii="Verdana" w:hAnsi="Verdana"/>
          <w:sz w:val="20"/>
          <w:szCs w:val="20"/>
        </w:rPr>
        <w:t>.</w:t>
      </w:r>
    </w:p>
    <w:p w14:paraId="52379D6E" w14:textId="77777777" w:rsidR="002F3106" w:rsidRPr="00007259" w:rsidRDefault="002F3106" w:rsidP="00F055C2">
      <w:pPr>
        <w:jc w:val="both"/>
        <w:rPr>
          <w:rFonts w:ascii="Verdana" w:hAnsi="Verdana"/>
          <w:sz w:val="20"/>
          <w:szCs w:val="20"/>
        </w:rPr>
      </w:pPr>
    </w:p>
    <w:p w14:paraId="7A53B5FF" w14:textId="1EBD4461" w:rsidR="00B7547F" w:rsidRPr="00732E97" w:rsidRDefault="00B7547F" w:rsidP="00B7547F">
      <w:pPr>
        <w:pStyle w:val="Prrafodelista"/>
        <w:numPr>
          <w:ilvl w:val="0"/>
          <w:numId w:val="2"/>
        </w:numPr>
        <w:ind w:left="284" w:hanging="284"/>
        <w:jc w:val="both"/>
        <w:rPr>
          <w:rFonts w:ascii="Verdana" w:hAnsi="Verdana"/>
          <w:b/>
          <w:bCs/>
          <w:sz w:val="20"/>
          <w:szCs w:val="20"/>
        </w:rPr>
      </w:pPr>
      <w:r>
        <w:rPr>
          <w:rFonts w:ascii="Verdana" w:hAnsi="Verdana"/>
          <w:b/>
          <w:bCs/>
          <w:sz w:val="20"/>
          <w:szCs w:val="20"/>
        </w:rPr>
        <w:lastRenderedPageBreak/>
        <w:t>Control</w:t>
      </w:r>
    </w:p>
    <w:p w14:paraId="7879FEA8" w14:textId="72341E09" w:rsidR="00B7547F" w:rsidRPr="0086035E" w:rsidRDefault="00B7547F" w:rsidP="00B7547F">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E31B5D">
        <w:rPr>
          <w:rFonts w:ascii="Verdana" w:hAnsi="Verdana"/>
          <w:sz w:val="20"/>
          <w:szCs w:val="20"/>
        </w:rPr>
        <w:t>80</w:t>
      </w:r>
      <w:r w:rsidRPr="0086035E">
        <w:rPr>
          <w:rFonts w:ascii="Verdana" w:hAnsi="Verdana"/>
          <w:sz w:val="20"/>
          <w:szCs w:val="20"/>
        </w:rPr>
        <w:t>.</w:t>
      </w:r>
    </w:p>
    <w:p w14:paraId="046CD640" w14:textId="5844F1F9" w:rsidR="00BF0CD5" w:rsidRDefault="00E31B5D" w:rsidP="00E31B5D">
      <w:pPr>
        <w:jc w:val="both"/>
        <w:rPr>
          <w:rFonts w:ascii="Verdana" w:hAnsi="Verdana"/>
          <w:sz w:val="20"/>
          <w:szCs w:val="20"/>
        </w:rPr>
      </w:pPr>
      <w:r w:rsidRPr="00E31B5D">
        <w:rPr>
          <w:rFonts w:ascii="Verdana" w:hAnsi="Verdana"/>
          <w:sz w:val="20"/>
          <w:szCs w:val="20"/>
        </w:rPr>
        <w:t xml:space="preserve">La entidad debe tomar las medidas conducentes para controlar el riesgo de liquidez al que se ven expuestas en el desarrollo de sus operaciones. Adicionalmente, deben existir los procedimientos adecuados para que las actividades de control sobre </w:t>
      </w:r>
      <w:r w:rsidR="000E0EA7">
        <w:rPr>
          <w:rFonts w:ascii="Verdana" w:hAnsi="Verdana"/>
          <w:sz w:val="20"/>
          <w:szCs w:val="20"/>
        </w:rPr>
        <w:t xml:space="preserve">el </w:t>
      </w:r>
      <w:r w:rsidRPr="00E31B5D">
        <w:rPr>
          <w:rFonts w:ascii="Verdana" w:hAnsi="Verdana"/>
          <w:sz w:val="20"/>
          <w:szCs w:val="20"/>
        </w:rPr>
        <w:t>cumplimiento de los límites de riesgo de liquidez sean llevadas a cabo por un área funcional diferente a las áreas encargadas de las negociaciones en la tesorería y de las captaciones y colocaciones de la entidad</w:t>
      </w:r>
      <w:r w:rsidR="00B7547F" w:rsidRPr="001637B5">
        <w:rPr>
          <w:rFonts w:ascii="Verdana" w:hAnsi="Verdana"/>
          <w:sz w:val="20"/>
          <w:szCs w:val="20"/>
        </w:rPr>
        <w:t>.</w:t>
      </w:r>
    </w:p>
    <w:p w14:paraId="56B597E0" w14:textId="67BB3300" w:rsidR="00F055C2" w:rsidRPr="0086035E" w:rsidRDefault="00F055C2" w:rsidP="00F055C2">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AD452C">
        <w:rPr>
          <w:rFonts w:ascii="Verdana" w:hAnsi="Verdana"/>
          <w:sz w:val="20"/>
          <w:szCs w:val="20"/>
        </w:rPr>
        <w:t>8</w:t>
      </w:r>
      <w:r w:rsidR="00E31B5D">
        <w:rPr>
          <w:rFonts w:ascii="Verdana" w:hAnsi="Verdana"/>
          <w:sz w:val="20"/>
          <w:szCs w:val="20"/>
        </w:rPr>
        <w:t>1</w:t>
      </w:r>
      <w:r w:rsidRPr="0086035E">
        <w:rPr>
          <w:rFonts w:ascii="Verdana" w:hAnsi="Verdana"/>
          <w:sz w:val="20"/>
          <w:szCs w:val="20"/>
        </w:rPr>
        <w:t>.</w:t>
      </w:r>
    </w:p>
    <w:p w14:paraId="0F903FEC" w14:textId="20DE53B4" w:rsidR="00F055C2" w:rsidRDefault="0019008C" w:rsidP="00F055C2">
      <w:pPr>
        <w:jc w:val="both"/>
        <w:rPr>
          <w:rFonts w:ascii="Verdana" w:hAnsi="Verdana"/>
          <w:sz w:val="20"/>
          <w:szCs w:val="20"/>
        </w:rPr>
      </w:pPr>
      <w:r w:rsidRPr="0019008C">
        <w:rPr>
          <w:rFonts w:ascii="Verdana" w:hAnsi="Verdana"/>
          <w:sz w:val="20"/>
          <w:szCs w:val="20"/>
        </w:rPr>
        <w:t>Durante esta etapa la entidad debe cumplir con los siguientes requisitos mínimos:</w:t>
      </w:r>
      <w:r w:rsidR="00F055C2" w:rsidRPr="00C53A3B">
        <w:rPr>
          <w:rFonts w:ascii="Verdana" w:hAnsi="Verdana"/>
          <w:sz w:val="20"/>
          <w:szCs w:val="20"/>
        </w:rPr>
        <w:t xml:space="preserve"> </w:t>
      </w:r>
    </w:p>
    <w:p w14:paraId="1965557C" w14:textId="77777777" w:rsidR="00154FDA" w:rsidRDefault="00154FDA" w:rsidP="00154FDA">
      <w:pPr>
        <w:pStyle w:val="Prrafodelista"/>
        <w:numPr>
          <w:ilvl w:val="0"/>
          <w:numId w:val="64"/>
        </w:numPr>
        <w:ind w:left="567" w:hanging="567"/>
        <w:jc w:val="both"/>
        <w:rPr>
          <w:rFonts w:ascii="Verdana" w:hAnsi="Verdana"/>
          <w:sz w:val="20"/>
          <w:szCs w:val="20"/>
        </w:rPr>
      </w:pPr>
      <w:r w:rsidRPr="00154FDA">
        <w:rPr>
          <w:rFonts w:ascii="Verdana" w:hAnsi="Verdana"/>
          <w:sz w:val="20"/>
          <w:szCs w:val="20"/>
        </w:rPr>
        <w:t>Ser proporcional con el volumen y la complejidad de las operaciones desarrolladas por la entidad.</w:t>
      </w:r>
    </w:p>
    <w:p w14:paraId="482AEC92" w14:textId="77777777" w:rsidR="00154FDA" w:rsidRDefault="00154FDA" w:rsidP="00154FDA">
      <w:pPr>
        <w:pStyle w:val="Prrafodelista"/>
        <w:ind w:left="567"/>
        <w:jc w:val="both"/>
        <w:rPr>
          <w:rFonts w:ascii="Verdana" w:hAnsi="Verdana"/>
          <w:sz w:val="20"/>
          <w:szCs w:val="20"/>
        </w:rPr>
      </w:pPr>
    </w:p>
    <w:p w14:paraId="4EFA6DC1" w14:textId="77777777" w:rsidR="00154FDA" w:rsidRDefault="00154FDA" w:rsidP="00154FDA">
      <w:pPr>
        <w:pStyle w:val="Prrafodelista"/>
        <w:numPr>
          <w:ilvl w:val="0"/>
          <w:numId w:val="64"/>
        </w:numPr>
        <w:ind w:left="567" w:hanging="567"/>
        <w:jc w:val="both"/>
        <w:rPr>
          <w:rFonts w:ascii="Verdana" w:hAnsi="Verdana"/>
          <w:sz w:val="20"/>
          <w:szCs w:val="20"/>
        </w:rPr>
      </w:pPr>
      <w:r w:rsidRPr="00154FDA">
        <w:rPr>
          <w:rFonts w:ascii="Verdana" w:hAnsi="Verdana"/>
          <w:sz w:val="20"/>
          <w:szCs w:val="20"/>
        </w:rPr>
        <w:t>Permitir el control de los niveles de exposición al riesgo de liquidez y de los límites generales y especiales establecidos por la entidad, de acuerdo con la estructura, características y operaciones autorizadas.</w:t>
      </w:r>
    </w:p>
    <w:p w14:paraId="78515EA6" w14:textId="77777777" w:rsidR="00154FDA" w:rsidRPr="00154FDA" w:rsidRDefault="00154FDA" w:rsidP="00154FDA">
      <w:pPr>
        <w:pStyle w:val="Prrafodelista"/>
        <w:rPr>
          <w:rFonts w:ascii="Verdana" w:hAnsi="Verdana"/>
          <w:sz w:val="20"/>
          <w:szCs w:val="20"/>
        </w:rPr>
      </w:pPr>
    </w:p>
    <w:p w14:paraId="09B0C9AE" w14:textId="77777777" w:rsidR="00154FDA" w:rsidRDefault="00154FDA" w:rsidP="00154FDA">
      <w:pPr>
        <w:pStyle w:val="Prrafodelista"/>
        <w:numPr>
          <w:ilvl w:val="0"/>
          <w:numId w:val="64"/>
        </w:numPr>
        <w:ind w:left="567" w:hanging="567"/>
        <w:jc w:val="both"/>
        <w:rPr>
          <w:rFonts w:ascii="Verdana" w:hAnsi="Verdana"/>
          <w:sz w:val="20"/>
          <w:szCs w:val="20"/>
        </w:rPr>
      </w:pPr>
      <w:r w:rsidRPr="00154FDA">
        <w:rPr>
          <w:rFonts w:ascii="Verdana" w:hAnsi="Verdana"/>
          <w:sz w:val="20"/>
          <w:szCs w:val="20"/>
        </w:rPr>
        <w:t>Permitir la medición del riesgo de liquidez, y su incorporación dentro de la estructura de control y gestión de riesgos de la entidad.</w:t>
      </w:r>
    </w:p>
    <w:p w14:paraId="5E35DC65" w14:textId="77777777" w:rsidR="00154FDA" w:rsidRPr="00154FDA" w:rsidRDefault="00154FDA" w:rsidP="00154FDA">
      <w:pPr>
        <w:pStyle w:val="Prrafodelista"/>
        <w:rPr>
          <w:rFonts w:ascii="Verdana" w:hAnsi="Verdana"/>
          <w:sz w:val="20"/>
          <w:szCs w:val="20"/>
        </w:rPr>
      </w:pPr>
    </w:p>
    <w:p w14:paraId="7906C8D7" w14:textId="4BAB4FCB" w:rsidR="0064137E" w:rsidRPr="00154FDA" w:rsidRDefault="00154FDA" w:rsidP="00154FDA">
      <w:pPr>
        <w:pStyle w:val="Prrafodelista"/>
        <w:numPr>
          <w:ilvl w:val="0"/>
          <w:numId w:val="64"/>
        </w:numPr>
        <w:ind w:left="567" w:hanging="567"/>
        <w:jc w:val="both"/>
        <w:rPr>
          <w:rFonts w:ascii="Verdana" w:hAnsi="Verdana"/>
          <w:sz w:val="20"/>
          <w:szCs w:val="20"/>
        </w:rPr>
      </w:pPr>
      <w:r w:rsidRPr="00154FDA">
        <w:rPr>
          <w:rFonts w:ascii="Verdana" w:hAnsi="Verdana"/>
          <w:sz w:val="20"/>
          <w:szCs w:val="20"/>
        </w:rPr>
        <w:t xml:space="preserve">Considerar la estrategia y apetito de riesgo de la entidad, las prácticas generales de sus transacciones y las condiciones de las economías y los mercados en donde </w:t>
      </w:r>
      <w:r w:rsidR="008A03A5">
        <w:rPr>
          <w:rFonts w:ascii="Verdana" w:hAnsi="Verdana"/>
          <w:sz w:val="20"/>
          <w:szCs w:val="20"/>
        </w:rPr>
        <w:t>l</w:t>
      </w:r>
      <w:r w:rsidRPr="00154FDA">
        <w:rPr>
          <w:rFonts w:ascii="Verdana" w:hAnsi="Verdana"/>
          <w:sz w:val="20"/>
          <w:szCs w:val="20"/>
        </w:rPr>
        <w:t xml:space="preserve">a </w:t>
      </w:r>
      <w:r w:rsidR="008A03A5">
        <w:rPr>
          <w:rFonts w:ascii="Verdana" w:hAnsi="Verdana"/>
          <w:sz w:val="20"/>
          <w:szCs w:val="20"/>
        </w:rPr>
        <w:t>entidad</w:t>
      </w:r>
      <w:r w:rsidRPr="00154FDA">
        <w:rPr>
          <w:rFonts w:ascii="Verdana" w:hAnsi="Verdana"/>
          <w:sz w:val="20"/>
          <w:szCs w:val="20"/>
        </w:rPr>
        <w:t xml:space="preserve"> opera.</w:t>
      </w:r>
    </w:p>
    <w:p w14:paraId="31A9E485" w14:textId="77777777" w:rsidR="007B6442" w:rsidRDefault="007B6442" w:rsidP="007B6442">
      <w:pPr>
        <w:pStyle w:val="Prrafodelista"/>
        <w:ind w:left="284"/>
        <w:jc w:val="both"/>
        <w:rPr>
          <w:rFonts w:ascii="Verdana" w:hAnsi="Verdana"/>
          <w:b/>
          <w:bCs/>
          <w:sz w:val="20"/>
          <w:szCs w:val="20"/>
        </w:rPr>
      </w:pPr>
    </w:p>
    <w:p w14:paraId="34540C0D" w14:textId="63366300" w:rsidR="007B6442" w:rsidRPr="00732E97" w:rsidRDefault="000970ED" w:rsidP="007B6442">
      <w:pPr>
        <w:pStyle w:val="Prrafodelista"/>
        <w:numPr>
          <w:ilvl w:val="0"/>
          <w:numId w:val="2"/>
        </w:numPr>
        <w:ind w:left="284" w:hanging="284"/>
        <w:jc w:val="both"/>
        <w:rPr>
          <w:rFonts w:ascii="Verdana" w:hAnsi="Verdana"/>
          <w:b/>
          <w:bCs/>
          <w:sz w:val="20"/>
          <w:szCs w:val="20"/>
        </w:rPr>
      </w:pPr>
      <w:r>
        <w:rPr>
          <w:rFonts w:ascii="Verdana" w:hAnsi="Verdana"/>
          <w:b/>
          <w:bCs/>
          <w:sz w:val="20"/>
          <w:szCs w:val="20"/>
        </w:rPr>
        <w:t>Monitoreo</w:t>
      </w:r>
    </w:p>
    <w:p w14:paraId="175F1190" w14:textId="5A74E6F0" w:rsidR="007B6442" w:rsidRPr="0086035E" w:rsidRDefault="007B6442" w:rsidP="007B6442">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82</w:t>
      </w:r>
      <w:r w:rsidRPr="0086035E">
        <w:rPr>
          <w:rFonts w:ascii="Verdana" w:hAnsi="Verdana"/>
          <w:sz w:val="20"/>
          <w:szCs w:val="20"/>
        </w:rPr>
        <w:t>.</w:t>
      </w:r>
    </w:p>
    <w:p w14:paraId="052F45F5" w14:textId="4D71A05C" w:rsidR="004202DE" w:rsidRPr="004202DE" w:rsidRDefault="004202DE" w:rsidP="004202DE">
      <w:pPr>
        <w:jc w:val="both"/>
        <w:rPr>
          <w:rFonts w:ascii="Verdana" w:hAnsi="Verdana"/>
          <w:sz w:val="20"/>
          <w:szCs w:val="20"/>
        </w:rPr>
      </w:pPr>
      <w:r w:rsidRPr="004202DE">
        <w:rPr>
          <w:rFonts w:ascii="Verdana" w:hAnsi="Verdana"/>
          <w:sz w:val="20"/>
          <w:szCs w:val="20"/>
        </w:rPr>
        <w:t>Los lineamientos y procedimientos establecidos para la implementación de esta etapa deben permitir a la entidad llevar a cabo un seguimiento de su exposición al riesgo de liquidez.</w:t>
      </w:r>
    </w:p>
    <w:p w14:paraId="0107F887" w14:textId="0AC3A59D" w:rsidR="00173D84" w:rsidRPr="0086035E" w:rsidRDefault="00173D84" w:rsidP="00173D8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Pr>
          <w:rFonts w:ascii="Verdana" w:hAnsi="Verdana"/>
          <w:sz w:val="20"/>
          <w:szCs w:val="20"/>
        </w:rPr>
        <w:t>83</w:t>
      </w:r>
      <w:r w:rsidRPr="0086035E">
        <w:rPr>
          <w:rFonts w:ascii="Verdana" w:hAnsi="Verdana"/>
          <w:sz w:val="20"/>
          <w:szCs w:val="20"/>
        </w:rPr>
        <w:t>.</w:t>
      </w:r>
    </w:p>
    <w:p w14:paraId="46D3F8B9" w14:textId="42399DD3" w:rsidR="004202DE" w:rsidRPr="004202DE" w:rsidRDefault="004202DE" w:rsidP="004202DE">
      <w:pPr>
        <w:jc w:val="both"/>
        <w:rPr>
          <w:rFonts w:ascii="Verdana" w:hAnsi="Verdana"/>
          <w:sz w:val="20"/>
          <w:szCs w:val="20"/>
        </w:rPr>
      </w:pPr>
      <w:r w:rsidRPr="004202DE">
        <w:rPr>
          <w:rFonts w:ascii="Verdana" w:hAnsi="Verdana"/>
          <w:sz w:val="20"/>
          <w:szCs w:val="20"/>
        </w:rPr>
        <w:t>Durante esta etapa, la entidad debe cumplir con los siguientes requisitos mínimos:</w:t>
      </w:r>
    </w:p>
    <w:p w14:paraId="3F5FEF83" w14:textId="77777777" w:rsidR="00D57F55" w:rsidRDefault="004202DE" w:rsidP="004202DE">
      <w:pPr>
        <w:pStyle w:val="Prrafodelista"/>
        <w:numPr>
          <w:ilvl w:val="0"/>
          <w:numId w:val="65"/>
        </w:numPr>
        <w:ind w:left="567" w:hanging="567"/>
        <w:jc w:val="both"/>
        <w:rPr>
          <w:rFonts w:ascii="Verdana" w:hAnsi="Verdana"/>
          <w:sz w:val="20"/>
          <w:szCs w:val="20"/>
        </w:rPr>
      </w:pPr>
      <w:r w:rsidRPr="003C2874">
        <w:rPr>
          <w:rFonts w:ascii="Verdana" w:hAnsi="Verdana"/>
          <w:sz w:val="20"/>
          <w:szCs w:val="20"/>
        </w:rPr>
        <w:t>Guardar correspondencia con el volumen y complejidad de las operaciones desarrolladas por la entidad.</w:t>
      </w:r>
    </w:p>
    <w:p w14:paraId="2DF78EE3" w14:textId="77777777" w:rsidR="00D57F55" w:rsidRDefault="00D57F55" w:rsidP="00D57F55">
      <w:pPr>
        <w:pStyle w:val="Prrafodelista"/>
        <w:ind w:left="567"/>
        <w:jc w:val="both"/>
        <w:rPr>
          <w:rFonts w:ascii="Verdana" w:hAnsi="Verdana"/>
          <w:sz w:val="20"/>
          <w:szCs w:val="20"/>
        </w:rPr>
      </w:pPr>
    </w:p>
    <w:p w14:paraId="196754F8" w14:textId="77777777" w:rsidR="00D57F55" w:rsidRDefault="004202DE" w:rsidP="004202DE">
      <w:pPr>
        <w:pStyle w:val="Prrafodelista"/>
        <w:numPr>
          <w:ilvl w:val="0"/>
          <w:numId w:val="65"/>
        </w:numPr>
        <w:ind w:left="567" w:hanging="567"/>
        <w:jc w:val="both"/>
        <w:rPr>
          <w:rFonts w:ascii="Verdana" w:hAnsi="Verdana"/>
          <w:sz w:val="20"/>
          <w:szCs w:val="20"/>
        </w:rPr>
      </w:pPr>
      <w:r w:rsidRPr="00D57F55">
        <w:rPr>
          <w:rFonts w:ascii="Verdana" w:hAnsi="Verdana"/>
          <w:sz w:val="20"/>
          <w:szCs w:val="20"/>
        </w:rPr>
        <w:t>Permitir el seguimiento de los niveles de exposición al riesgo de liquidez y de los límites generales y especiales establecidos por la entidad, según su estructura, características y operaciones autorizadas.</w:t>
      </w:r>
    </w:p>
    <w:p w14:paraId="2C3360D2" w14:textId="77777777" w:rsidR="00D57F55" w:rsidRPr="00D57F55" w:rsidRDefault="00D57F55" w:rsidP="00D57F55">
      <w:pPr>
        <w:pStyle w:val="Prrafodelista"/>
        <w:rPr>
          <w:rFonts w:ascii="Verdana" w:hAnsi="Verdana"/>
          <w:sz w:val="20"/>
          <w:szCs w:val="20"/>
        </w:rPr>
      </w:pPr>
    </w:p>
    <w:p w14:paraId="7803169C" w14:textId="77777777" w:rsidR="00D57F55" w:rsidRDefault="004202DE" w:rsidP="004202DE">
      <w:pPr>
        <w:pStyle w:val="Prrafodelista"/>
        <w:numPr>
          <w:ilvl w:val="0"/>
          <w:numId w:val="65"/>
        </w:numPr>
        <w:ind w:left="567" w:hanging="567"/>
        <w:jc w:val="both"/>
        <w:rPr>
          <w:rFonts w:ascii="Verdana" w:hAnsi="Verdana"/>
          <w:sz w:val="20"/>
          <w:szCs w:val="20"/>
        </w:rPr>
      </w:pPr>
      <w:r w:rsidRPr="00D57F55">
        <w:rPr>
          <w:rFonts w:ascii="Verdana" w:hAnsi="Verdana"/>
          <w:sz w:val="20"/>
          <w:szCs w:val="20"/>
        </w:rPr>
        <w:t>Permitir la elaboración de reportes gerenciales y de monitoreo del riesgo de liquidez que evalúen los resultados de las estrategias de la entidad e incluyan el resumen de las posiciones que contribuyen significativamente a dicho riesgo.</w:t>
      </w:r>
    </w:p>
    <w:p w14:paraId="29874F24" w14:textId="77777777" w:rsidR="00D57F55" w:rsidRPr="00D57F55" w:rsidRDefault="00D57F55" w:rsidP="00D57F55">
      <w:pPr>
        <w:pStyle w:val="Prrafodelista"/>
        <w:rPr>
          <w:rFonts w:ascii="Verdana" w:hAnsi="Verdana"/>
          <w:sz w:val="20"/>
          <w:szCs w:val="20"/>
        </w:rPr>
      </w:pPr>
    </w:p>
    <w:p w14:paraId="014575A3" w14:textId="77777777" w:rsidR="00D57F55" w:rsidRDefault="004202DE" w:rsidP="004202DE">
      <w:pPr>
        <w:pStyle w:val="Prrafodelista"/>
        <w:numPr>
          <w:ilvl w:val="0"/>
          <w:numId w:val="65"/>
        </w:numPr>
        <w:ind w:left="567" w:hanging="567"/>
        <w:jc w:val="both"/>
        <w:rPr>
          <w:rFonts w:ascii="Verdana" w:hAnsi="Verdana"/>
          <w:sz w:val="20"/>
          <w:szCs w:val="20"/>
        </w:rPr>
      </w:pPr>
      <w:r w:rsidRPr="00D57F55">
        <w:rPr>
          <w:rFonts w:ascii="Verdana" w:hAnsi="Verdana"/>
          <w:sz w:val="20"/>
          <w:szCs w:val="20"/>
        </w:rPr>
        <w:t>Implementar mecanismos que permitan realizar el registro y soporte de las operaciones efectuadas vía telefónica o mediante cualquier otro sistema de comunicación, previo cumplimiento de los requisitos legales. La entidad debe conservar los registros correspondientes durante los plazos establecidos en la Ley.</w:t>
      </w:r>
    </w:p>
    <w:p w14:paraId="60BE8ECF" w14:textId="77777777" w:rsidR="00D57F55" w:rsidRPr="00D57F55" w:rsidRDefault="00D57F55" w:rsidP="00D57F55">
      <w:pPr>
        <w:pStyle w:val="Prrafodelista"/>
        <w:rPr>
          <w:rFonts w:ascii="Verdana" w:hAnsi="Verdana"/>
          <w:sz w:val="20"/>
          <w:szCs w:val="20"/>
        </w:rPr>
      </w:pPr>
    </w:p>
    <w:p w14:paraId="720A51B0" w14:textId="77777777" w:rsidR="00D57F55" w:rsidRDefault="004202DE" w:rsidP="004202DE">
      <w:pPr>
        <w:pStyle w:val="Prrafodelista"/>
        <w:numPr>
          <w:ilvl w:val="0"/>
          <w:numId w:val="65"/>
        </w:numPr>
        <w:ind w:left="567" w:hanging="567"/>
        <w:jc w:val="both"/>
        <w:rPr>
          <w:rFonts w:ascii="Verdana" w:hAnsi="Verdana"/>
          <w:sz w:val="20"/>
          <w:szCs w:val="20"/>
        </w:rPr>
      </w:pPr>
      <w:r w:rsidRPr="00D57F55">
        <w:rPr>
          <w:rFonts w:ascii="Verdana" w:hAnsi="Verdana"/>
          <w:sz w:val="20"/>
          <w:szCs w:val="20"/>
        </w:rPr>
        <w:t>Establecer los lineamientos y políticas que debe seguir la entidad para todas las operaciones que realice con partes relacionadas y que impliquen transferencias de liquidez. En desarrollo de esta obligación la entidad debe implementar políticas y controles para el manejo de la liquidez y de los flujos de recursos desde y hacia otras sociedades y/o personas que sean partes relacionadas. Para ello, la entidad debe especificar en su estrategia de administración del riesgo de liquidez la posición de la misma frente a las operaciones y transferencias de liquidez con partes relacionadas, así como las responsabilidades que asume en esta materia.</w:t>
      </w:r>
    </w:p>
    <w:p w14:paraId="10ECD29D" w14:textId="77777777" w:rsidR="00D57F55" w:rsidRPr="00D57F55" w:rsidRDefault="00D57F55" w:rsidP="00D57F55">
      <w:pPr>
        <w:pStyle w:val="Prrafodelista"/>
        <w:rPr>
          <w:rFonts w:ascii="Verdana" w:hAnsi="Verdana"/>
          <w:sz w:val="20"/>
          <w:szCs w:val="20"/>
        </w:rPr>
      </w:pPr>
    </w:p>
    <w:p w14:paraId="12E83090" w14:textId="77777777" w:rsidR="00D57F55" w:rsidRDefault="004202DE" w:rsidP="004202DE">
      <w:pPr>
        <w:pStyle w:val="Prrafodelista"/>
        <w:numPr>
          <w:ilvl w:val="0"/>
          <w:numId w:val="65"/>
        </w:numPr>
        <w:ind w:left="567" w:hanging="567"/>
        <w:jc w:val="both"/>
        <w:rPr>
          <w:rFonts w:ascii="Verdana" w:hAnsi="Verdana"/>
          <w:sz w:val="20"/>
          <w:szCs w:val="20"/>
        </w:rPr>
      </w:pPr>
      <w:r w:rsidRPr="00D57F55">
        <w:rPr>
          <w:rFonts w:ascii="Verdana" w:hAnsi="Verdana"/>
          <w:sz w:val="20"/>
          <w:szCs w:val="20"/>
        </w:rPr>
        <w:t xml:space="preserve">Considerar la estrategia y apetito de riesgo de la entidad y las condiciones de las economías y los mercados en donde esta </w:t>
      </w:r>
      <w:proofErr w:type="spellStart"/>
      <w:r w:rsidRPr="00D57F55">
        <w:rPr>
          <w:rFonts w:ascii="Verdana" w:hAnsi="Verdana"/>
          <w:sz w:val="20"/>
          <w:szCs w:val="20"/>
        </w:rPr>
        <w:t>opera</w:t>
      </w:r>
      <w:proofErr w:type="spellEnd"/>
      <w:r w:rsidRPr="00D57F55">
        <w:rPr>
          <w:rFonts w:ascii="Verdana" w:hAnsi="Verdana"/>
          <w:sz w:val="20"/>
          <w:szCs w:val="20"/>
        </w:rPr>
        <w:t>.</w:t>
      </w:r>
    </w:p>
    <w:p w14:paraId="709BBE9B" w14:textId="77777777" w:rsidR="00D57F55" w:rsidRPr="00D57F55" w:rsidRDefault="00D57F55" w:rsidP="00D57F55">
      <w:pPr>
        <w:pStyle w:val="Prrafodelista"/>
        <w:rPr>
          <w:rFonts w:ascii="Verdana" w:hAnsi="Verdana"/>
          <w:sz w:val="20"/>
          <w:szCs w:val="20"/>
        </w:rPr>
      </w:pPr>
    </w:p>
    <w:p w14:paraId="1709D124" w14:textId="6531B232" w:rsidR="00AE7D1D" w:rsidRPr="002F3106" w:rsidRDefault="004202DE" w:rsidP="00845D9C">
      <w:pPr>
        <w:pStyle w:val="Prrafodelista"/>
        <w:numPr>
          <w:ilvl w:val="0"/>
          <w:numId w:val="65"/>
        </w:numPr>
        <w:ind w:left="567" w:hanging="567"/>
        <w:jc w:val="both"/>
        <w:rPr>
          <w:rFonts w:ascii="Verdana" w:hAnsi="Verdana"/>
          <w:sz w:val="20"/>
          <w:szCs w:val="20"/>
        </w:rPr>
      </w:pPr>
      <w:r w:rsidRPr="00D57F55">
        <w:rPr>
          <w:rFonts w:ascii="Verdana" w:hAnsi="Verdana"/>
          <w:sz w:val="20"/>
          <w:szCs w:val="20"/>
        </w:rPr>
        <w:t>Establecer que las operaciones sean registradas oportunamente de modo que se pueda realizar un control efectivo de los cumplimientos de los límites.</w:t>
      </w:r>
    </w:p>
    <w:p w14:paraId="35EB31A0" w14:textId="3947EADC" w:rsidR="00845D9C" w:rsidRPr="00845D9C" w:rsidRDefault="00AE7D1D" w:rsidP="00845D9C">
      <w:pPr>
        <w:jc w:val="both"/>
        <w:rPr>
          <w:rFonts w:ascii="Verdana" w:hAnsi="Verdana"/>
          <w:b/>
          <w:bCs/>
          <w:sz w:val="20"/>
          <w:szCs w:val="20"/>
        </w:rPr>
      </w:pPr>
      <w:r>
        <w:rPr>
          <w:rFonts w:ascii="Verdana" w:hAnsi="Verdana"/>
          <w:b/>
          <w:bCs/>
          <w:sz w:val="20"/>
          <w:szCs w:val="20"/>
        </w:rPr>
        <w:lastRenderedPageBreak/>
        <w:t>Límites</w:t>
      </w:r>
    </w:p>
    <w:p w14:paraId="1ADB8FA8" w14:textId="32C50529" w:rsidR="00845D9C" w:rsidRPr="00845D9C" w:rsidRDefault="00845D9C" w:rsidP="00845D9C">
      <w:pPr>
        <w:spacing w:after="0"/>
        <w:jc w:val="both"/>
        <w:rPr>
          <w:rFonts w:ascii="Verdana" w:hAnsi="Verdana"/>
          <w:sz w:val="20"/>
          <w:szCs w:val="20"/>
        </w:rPr>
      </w:pPr>
      <w:r w:rsidRPr="00845D9C">
        <w:rPr>
          <w:rFonts w:ascii="Verdana" w:hAnsi="Verdana"/>
          <w:sz w:val="20"/>
          <w:szCs w:val="20"/>
        </w:rPr>
        <w:t>1.1.2.1</w:t>
      </w:r>
      <w:r>
        <w:rPr>
          <w:rFonts w:ascii="Verdana" w:hAnsi="Verdana"/>
          <w:sz w:val="20"/>
          <w:szCs w:val="20"/>
        </w:rPr>
        <w:t>8</w:t>
      </w:r>
      <w:r w:rsidR="00F56BB6">
        <w:rPr>
          <w:rFonts w:ascii="Verdana" w:hAnsi="Verdana"/>
          <w:sz w:val="20"/>
          <w:szCs w:val="20"/>
        </w:rPr>
        <w:t>4</w:t>
      </w:r>
      <w:r w:rsidRPr="00845D9C">
        <w:rPr>
          <w:rFonts w:ascii="Verdana" w:hAnsi="Verdana"/>
          <w:sz w:val="20"/>
          <w:szCs w:val="20"/>
        </w:rPr>
        <w:t>.</w:t>
      </w:r>
    </w:p>
    <w:p w14:paraId="7422F346" w14:textId="23615EB9" w:rsidR="00845D9C" w:rsidRPr="00845D9C" w:rsidRDefault="00F56BB6" w:rsidP="00845D9C">
      <w:pPr>
        <w:jc w:val="both"/>
        <w:rPr>
          <w:rFonts w:ascii="Verdana" w:hAnsi="Verdana"/>
          <w:sz w:val="20"/>
          <w:szCs w:val="20"/>
        </w:rPr>
      </w:pPr>
      <w:r w:rsidRPr="00F56BB6">
        <w:rPr>
          <w:rFonts w:ascii="Verdana" w:hAnsi="Verdana"/>
          <w:sz w:val="20"/>
          <w:szCs w:val="20"/>
        </w:rPr>
        <w:t xml:space="preserve">La adecuada gestión del riesgo de liquidez requiere que la entidad establezca límites consistentes con el plan de negocio y apetito de riesgo, incluidos los niveles de tolerancia al riesgo de liquidez, así como con las economías y mercados en donde esta </w:t>
      </w:r>
      <w:proofErr w:type="spellStart"/>
      <w:r w:rsidRPr="00F56BB6">
        <w:rPr>
          <w:rFonts w:ascii="Verdana" w:hAnsi="Verdana"/>
          <w:sz w:val="20"/>
          <w:szCs w:val="20"/>
        </w:rPr>
        <w:t>opera</w:t>
      </w:r>
      <w:proofErr w:type="spellEnd"/>
      <w:r w:rsidRPr="00F56BB6">
        <w:rPr>
          <w:rFonts w:ascii="Verdana" w:hAnsi="Verdana"/>
          <w:sz w:val="20"/>
          <w:szCs w:val="20"/>
        </w:rPr>
        <w:t>. Tanto los límites como los niveles de tolerancia deben ser revisados periódicamente para incorporar cambios en las condiciones del mercado o nuevas decisiones derivadas del análisis de riesgo de la entidad.</w:t>
      </w:r>
    </w:p>
    <w:p w14:paraId="24E5507C" w14:textId="235EDAD5" w:rsidR="00F56BB6" w:rsidRPr="00845D9C" w:rsidRDefault="00F56BB6" w:rsidP="00F56BB6">
      <w:pPr>
        <w:spacing w:after="0"/>
        <w:jc w:val="both"/>
        <w:rPr>
          <w:rFonts w:ascii="Verdana" w:hAnsi="Verdana"/>
          <w:sz w:val="20"/>
          <w:szCs w:val="20"/>
        </w:rPr>
      </w:pPr>
      <w:r w:rsidRPr="00845D9C">
        <w:rPr>
          <w:rFonts w:ascii="Verdana" w:hAnsi="Verdana"/>
          <w:sz w:val="20"/>
          <w:szCs w:val="20"/>
        </w:rPr>
        <w:t>1.1.2.1</w:t>
      </w:r>
      <w:r>
        <w:rPr>
          <w:rFonts w:ascii="Verdana" w:hAnsi="Verdana"/>
          <w:sz w:val="20"/>
          <w:szCs w:val="20"/>
        </w:rPr>
        <w:t>8</w:t>
      </w:r>
      <w:r w:rsidR="00AC453E">
        <w:rPr>
          <w:rFonts w:ascii="Verdana" w:hAnsi="Verdana"/>
          <w:sz w:val="20"/>
          <w:szCs w:val="20"/>
        </w:rPr>
        <w:t>5</w:t>
      </w:r>
      <w:r w:rsidRPr="00845D9C">
        <w:rPr>
          <w:rFonts w:ascii="Verdana" w:hAnsi="Verdana"/>
          <w:sz w:val="20"/>
          <w:szCs w:val="20"/>
        </w:rPr>
        <w:t>.</w:t>
      </w:r>
    </w:p>
    <w:p w14:paraId="1DBECCFF" w14:textId="1F136A32" w:rsidR="007B6442" w:rsidRDefault="00AC453E" w:rsidP="00F56BB6">
      <w:pPr>
        <w:jc w:val="both"/>
        <w:rPr>
          <w:rFonts w:ascii="Verdana" w:hAnsi="Verdana"/>
          <w:sz w:val="20"/>
          <w:szCs w:val="20"/>
        </w:rPr>
      </w:pPr>
      <w:r w:rsidRPr="00AC453E">
        <w:rPr>
          <w:rFonts w:ascii="Verdana" w:hAnsi="Verdana"/>
          <w:sz w:val="20"/>
          <w:szCs w:val="20"/>
        </w:rPr>
        <w:t>Los límites que establezca la entidad deben como mínimo considerar:</w:t>
      </w:r>
    </w:p>
    <w:p w14:paraId="7138F1ED" w14:textId="77777777" w:rsidR="00987856" w:rsidRDefault="008A70E2" w:rsidP="008A70E2">
      <w:pPr>
        <w:pStyle w:val="Prrafodelista"/>
        <w:numPr>
          <w:ilvl w:val="0"/>
          <w:numId w:val="66"/>
        </w:numPr>
        <w:ind w:left="567" w:hanging="567"/>
        <w:jc w:val="both"/>
        <w:rPr>
          <w:rFonts w:ascii="Verdana" w:hAnsi="Verdana"/>
          <w:sz w:val="20"/>
          <w:szCs w:val="20"/>
        </w:rPr>
      </w:pPr>
      <w:r w:rsidRPr="008A70E2">
        <w:rPr>
          <w:rFonts w:ascii="Verdana" w:hAnsi="Verdana"/>
          <w:sz w:val="20"/>
          <w:szCs w:val="20"/>
        </w:rPr>
        <w:t>Los niveles máximos de exposición al riesgo de liquidez, tales como niveles de concentración por: plazo de captación, depositante, fuente de fondeo, emisor, contraparte, sector económico, vencimiento, tipo de producto y por tipo de moneda, legal y extranjera, entre otros, definidos para diferentes horizontes de tiempo.</w:t>
      </w:r>
    </w:p>
    <w:p w14:paraId="6A6351CA" w14:textId="77777777" w:rsidR="00987856" w:rsidRDefault="00987856" w:rsidP="00987856">
      <w:pPr>
        <w:pStyle w:val="Prrafodelista"/>
        <w:ind w:left="567"/>
        <w:jc w:val="both"/>
        <w:rPr>
          <w:rFonts w:ascii="Verdana" w:hAnsi="Verdana"/>
          <w:sz w:val="20"/>
          <w:szCs w:val="20"/>
        </w:rPr>
      </w:pPr>
    </w:p>
    <w:p w14:paraId="561199C1" w14:textId="77777777" w:rsidR="00987856" w:rsidRDefault="008A70E2" w:rsidP="008A70E2">
      <w:pPr>
        <w:pStyle w:val="Prrafodelista"/>
        <w:numPr>
          <w:ilvl w:val="0"/>
          <w:numId w:val="66"/>
        </w:numPr>
        <w:ind w:left="567" w:hanging="567"/>
        <w:jc w:val="both"/>
        <w:rPr>
          <w:rFonts w:ascii="Verdana" w:hAnsi="Verdana"/>
          <w:sz w:val="20"/>
          <w:szCs w:val="20"/>
        </w:rPr>
      </w:pPr>
      <w:r w:rsidRPr="00987856">
        <w:rPr>
          <w:rFonts w:ascii="Verdana" w:hAnsi="Verdana"/>
          <w:sz w:val="20"/>
          <w:szCs w:val="20"/>
        </w:rPr>
        <w:t>Niveles máximos de exposición sobre el riesgo de liquidez del día a día (incluso intradía, cuando sea pertinente) en y entre líneas de negocio y entidades, bajo condiciones normales. Finalmente, en la definición de los límites debe considerar incluir medidas encaminadas a asegurar que la entidad continúe operando en periodos adversos en el mercado, en la entidad o en ambos.</w:t>
      </w:r>
    </w:p>
    <w:p w14:paraId="7C445BD9" w14:textId="77777777" w:rsidR="00987856" w:rsidRPr="00987856" w:rsidRDefault="00987856" w:rsidP="00987856">
      <w:pPr>
        <w:pStyle w:val="Prrafodelista"/>
        <w:rPr>
          <w:rFonts w:ascii="Verdana" w:hAnsi="Verdana"/>
          <w:sz w:val="20"/>
          <w:szCs w:val="20"/>
        </w:rPr>
      </w:pPr>
    </w:p>
    <w:p w14:paraId="6DD6A435" w14:textId="7861AC08" w:rsidR="008A70E2" w:rsidRPr="00987856" w:rsidRDefault="008A70E2" w:rsidP="008A70E2">
      <w:pPr>
        <w:pStyle w:val="Prrafodelista"/>
        <w:numPr>
          <w:ilvl w:val="0"/>
          <w:numId w:val="66"/>
        </w:numPr>
        <w:ind w:left="567" w:hanging="567"/>
        <w:jc w:val="both"/>
        <w:rPr>
          <w:rFonts w:ascii="Verdana" w:hAnsi="Verdana"/>
          <w:sz w:val="20"/>
          <w:szCs w:val="20"/>
        </w:rPr>
      </w:pPr>
      <w:r w:rsidRPr="00987856">
        <w:rPr>
          <w:rFonts w:ascii="Verdana" w:hAnsi="Verdana"/>
          <w:sz w:val="20"/>
          <w:szCs w:val="20"/>
        </w:rPr>
        <w:t>Indicadores de alerta temprana que permitan identificar el aumento de la exposición al riesgo de liquidez o debilidades en la posición vigente en relación con los siguientes aspectos, en la medida en que sean aplicables:</w:t>
      </w:r>
    </w:p>
    <w:p w14:paraId="788ACC08" w14:textId="77777777" w:rsidR="00987856" w:rsidRDefault="00987856" w:rsidP="00987856">
      <w:pPr>
        <w:pStyle w:val="Prrafodelista"/>
        <w:jc w:val="both"/>
        <w:rPr>
          <w:rFonts w:ascii="Verdana" w:hAnsi="Verdana"/>
          <w:sz w:val="20"/>
          <w:szCs w:val="20"/>
        </w:rPr>
      </w:pPr>
    </w:p>
    <w:p w14:paraId="543D1518" w14:textId="77777777" w:rsid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El rápido crecimiento de los activos, en comparación con el de los pasivos, o frente a pasivos volátiles.</w:t>
      </w:r>
    </w:p>
    <w:p w14:paraId="4C9FF707" w14:textId="77777777" w:rsidR="00987856" w:rsidRDefault="00987856" w:rsidP="00987856">
      <w:pPr>
        <w:pStyle w:val="Prrafodelista"/>
        <w:ind w:left="1134"/>
        <w:jc w:val="both"/>
        <w:rPr>
          <w:rFonts w:ascii="Verdana" w:hAnsi="Verdana"/>
          <w:sz w:val="20"/>
          <w:szCs w:val="20"/>
        </w:rPr>
      </w:pPr>
    </w:p>
    <w:p w14:paraId="4482EE6B" w14:textId="77777777" w:rsid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El crecimiento de la concentración en activos o pasivos.</w:t>
      </w:r>
    </w:p>
    <w:p w14:paraId="6E0165E5" w14:textId="77777777" w:rsidR="00987856" w:rsidRPr="00987856" w:rsidRDefault="00987856" w:rsidP="00987856">
      <w:pPr>
        <w:pStyle w:val="Prrafodelista"/>
        <w:rPr>
          <w:rFonts w:ascii="Verdana" w:hAnsi="Verdana"/>
          <w:sz w:val="20"/>
          <w:szCs w:val="20"/>
        </w:rPr>
      </w:pPr>
    </w:p>
    <w:p w14:paraId="0D7EA786" w14:textId="77777777" w:rsid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El incremento de la salida de depósitos o redención de depósitos a término antes de su madurez.</w:t>
      </w:r>
    </w:p>
    <w:p w14:paraId="4EED8463" w14:textId="77777777" w:rsidR="00987856" w:rsidRPr="00987856" w:rsidRDefault="00987856" w:rsidP="00987856">
      <w:pPr>
        <w:pStyle w:val="Prrafodelista"/>
        <w:rPr>
          <w:rFonts w:ascii="Verdana" w:hAnsi="Verdana"/>
          <w:sz w:val="20"/>
          <w:szCs w:val="20"/>
        </w:rPr>
      </w:pPr>
    </w:p>
    <w:p w14:paraId="6ECC9D72" w14:textId="77777777" w:rsid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La caída de la madurez promedio ponderada de los pasivos.</w:t>
      </w:r>
    </w:p>
    <w:p w14:paraId="3AC112B4" w14:textId="77777777" w:rsidR="00987856" w:rsidRPr="00987856" w:rsidRDefault="00987856" w:rsidP="00987856">
      <w:pPr>
        <w:pStyle w:val="Prrafodelista"/>
        <w:rPr>
          <w:rFonts w:ascii="Verdana" w:hAnsi="Verdana"/>
          <w:sz w:val="20"/>
          <w:szCs w:val="20"/>
        </w:rPr>
      </w:pPr>
    </w:p>
    <w:p w14:paraId="69FEDA9A" w14:textId="77777777" w:rsid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Las aproximaciones o rompimientos reiterados de los límites internos o regulatorios.</w:t>
      </w:r>
    </w:p>
    <w:p w14:paraId="711523FA" w14:textId="77777777" w:rsidR="00987856" w:rsidRPr="00987856" w:rsidRDefault="00987856" w:rsidP="00987856">
      <w:pPr>
        <w:pStyle w:val="Prrafodelista"/>
        <w:rPr>
          <w:rFonts w:ascii="Verdana" w:hAnsi="Verdana"/>
          <w:sz w:val="20"/>
          <w:szCs w:val="20"/>
        </w:rPr>
      </w:pPr>
    </w:p>
    <w:p w14:paraId="6DC1CA74" w14:textId="77777777" w:rsid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El deterioro significativo de las utilidades, de la calidad de los activos, y en general de la condición financiera de la entidad.</w:t>
      </w:r>
    </w:p>
    <w:p w14:paraId="3E80B56F" w14:textId="77777777" w:rsidR="00987856" w:rsidRPr="00987856" w:rsidRDefault="00987856" w:rsidP="00987856">
      <w:pPr>
        <w:pStyle w:val="Prrafodelista"/>
        <w:rPr>
          <w:rFonts w:ascii="Verdana" w:hAnsi="Verdana"/>
          <w:sz w:val="20"/>
          <w:szCs w:val="20"/>
        </w:rPr>
      </w:pPr>
    </w:p>
    <w:p w14:paraId="5E38DB54" w14:textId="77777777" w:rsid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La disminución en la calificación crediticia.</w:t>
      </w:r>
    </w:p>
    <w:p w14:paraId="46430CFE" w14:textId="77777777" w:rsidR="00987856" w:rsidRPr="00987856" w:rsidRDefault="00987856" w:rsidP="00987856">
      <w:pPr>
        <w:pStyle w:val="Prrafodelista"/>
        <w:rPr>
          <w:rFonts w:ascii="Verdana" w:hAnsi="Verdana"/>
          <w:sz w:val="20"/>
          <w:szCs w:val="20"/>
        </w:rPr>
      </w:pPr>
    </w:p>
    <w:p w14:paraId="398EB747" w14:textId="77777777" w:rsid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La caída en los precios de las acciones o costos de deuda crecientes.</w:t>
      </w:r>
    </w:p>
    <w:p w14:paraId="331A0166" w14:textId="77777777" w:rsidR="00987856" w:rsidRPr="00987856" w:rsidRDefault="00987856" w:rsidP="00987856">
      <w:pPr>
        <w:pStyle w:val="Prrafodelista"/>
        <w:rPr>
          <w:rFonts w:ascii="Verdana" w:hAnsi="Verdana"/>
          <w:sz w:val="20"/>
          <w:szCs w:val="20"/>
        </w:rPr>
      </w:pPr>
    </w:p>
    <w:p w14:paraId="7533629F" w14:textId="77777777" w:rsid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El aumento de los costos de fondeo.</w:t>
      </w:r>
    </w:p>
    <w:p w14:paraId="4F5B5B62" w14:textId="77777777" w:rsidR="00987856" w:rsidRPr="00987856" w:rsidRDefault="00987856" w:rsidP="00987856">
      <w:pPr>
        <w:pStyle w:val="Prrafodelista"/>
        <w:rPr>
          <w:rFonts w:ascii="Verdana" w:hAnsi="Verdana"/>
          <w:sz w:val="20"/>
          <w:szCs w:val="20"/>
        </w:rPr>
      </w:pPr>
    </w:p>
    <w:p w14:paraId="7ACCA921" w14:textId="56D99B9B" w:rsidR="007B6442" w:rsidRPr="00987856" w:rsidRDefault="008A70E2" w:rsidP="008A70E2">
      <w:pPr>
        <w:pStyle w:val="Prrafodelista"/>
        <w:numPr>
          <w:ilvl w:val="0"/>
          <w:numId w:val="67"/>
        </w:numPr>
        <w:ind w:left="1134" w:hanging="567"/>
        <w:jc w:val="both"/>
        <w:rPr>
          <w:rFonts w:ascii="Verdana" w:hAnsi="Verdana"/>
          <w:sz w:val="20"/>
          <w:szCs w:val="20"/>
        </w:rPr>
      </w:pPr>
      <w:r w:rsidRPr="00987856">
        <w:rPr>
          <w:rFonts w:ascii="Verdana" w:hAnsi="Verdana"/>
          <w:sz w:val="20"/>
          <w:szCs w:val="20"/>
        </w:rPr>
        <w:t>Contrapartes u operaciones que requieran garantías o colaterales adicionales o que se resistan a realizar nuevas transacciones con la entidad, eliminación o disminución de líneas de crédito y dificultad para acceder a fuentes de financiamiento de largo plazo, entre otros.</w:t>
      </w:r>
    </w:p>
    <w:p w14:paraId="4821FC92" w14:textId="36A35DD3" w:rsidR="00E94060" w:rsidRPr="00E94060" w:rsidRDefault="00E94060" w:rsidP="00E94060">
      <w:pPr>
        <w:jc w:val="both"/>
        <w:rPr>
          <w:rFonts w:ascii="Verdana" w:hAnsi="Verdana"/>
          <w:b/>
          <w:bCs/>
          <w:sz w:val="20"/>
          <w:szCs w:val="20"/>
        </w:rPr>
      </w:pPr>
      <w:r w:rsidRPr="00E94060">
        <w:rPr>
          <w:rFonts w:ascii="Verdana" w:hAnsi="Verdana"/>
          <w:b/>
          <w:bCs/>
          <w:sz w:val="20"/>
          <w:szCs w:val="20"/>
        </w:rPr>
        <w:t xml:space="preserve">Plan de contingencia de </w:t>
      </w:r>
      <w:r w:rsidR="002F3106" w:rsidRPr="00E94060">
        <w:rPr>
          <w:rFonts w:ascii="Verdana" w:hAnsi="Verdana"/>
          <w:b/>
          <w:bCs/>
          <w:sz w:val="20"/>
          <w:szCs w:val="20"/>
        </w:rPr>
        <w:t>l</w:t>
      </w:r>
      <w:r w:rsidR="002F3106">
        <w:rPr>
          <w:rFonts w:ascii="Verdana" w:hAnsi="Verdana"/>
          <w:b/>
          <w:bCs/>
          <w:sz w:val="20"/>
          <w:szCs w:val="20"/>
        </w:rPr>
        <w:t>i</w:t>
      </w:r>
      <w:r w:rsidR="002F3106" w:rsidRPr="00E94060">
        <w:rPr>
          <w:rFonts w:ascii="Verdana" w:hAnsi="Verdana"/>
          <w:b/>
          <w:bCs/>
          <w:sz w:val="20"/>
          <w:szCs w:val="20"/>
        </w:rPr>
        <w:t>quidez</w:t>
      </w:r>
    </w:p>
    <w:p w14:paraId="74AEFFD6" w14:textId="321A8FD3" w:rsidR="00E94060" w:rsidRPr="00845D9C" w:rsidRDefault="00E94060" w:rsidP="00E94060">
      <w:pPr>
        <w:spacing w:after="0"/>
        <w:jc w:val="both"/>
        <w:rPr>
          <w:rFonts w:ascii="Verdana" w:hAnsi="Verdana"/>
          <w:sz w:val="20"/>
          <w:szCs w:val="20"/>
        </w:rPr>
      </w:pPr>
      <w:r w:rsidRPr="00845D9C">
        <w:rPr>
          <w:rFonts w:ascii="Verdana" w:hAnsi="Verdana"/>
          <w:sz w:val="20"/>
          <w:szCs w:val="20"/>
        </w:rPr>
        <w:t>1.1.2.1</w:t>
      </w:r>
      <w:r>
        <w:rPr>
          <w:rFonts w:ascii="Verdana" w:hAnsi="Verdana"/>
          <w:sz w:val="20"/>
          <w:szCs w:val="20"/>
        </w:rPr>
        <w:t>86</w:t>
      </w:r>
      <w:r w:rsidRPr="00845D9C">
        <w:rPr>
          <w:rFonts w:ascii="Verdana" w:hAnsi="Verdana"/>
          <w:sz w:val="20"/>
          <w:szCs w:val="20"/>
        </w:rPr>
        <w:t>.</w:t>
      </w:r>
    </w:p>
    <w:p w14:paraId="5BAA3CD7" w14:textId="15CA1304" w:rsidR="00E94060" w:rsidRPr="00E94060" w:rsidRDefault="00E94060" w:rsidP="00E94060">
      <w:pPr>
        <w:jc w:val="both"/>
        <w:rPr>
          <w:rFonts w:ascii="Verdana" w:hAnsi="Verdana"/>
          <w:sz w:val="20"/>
          <w:szCs w:val="20"/>
        </w:rPr>
      </w:pPr>
      <w:r w:rsidRPr="00E94060">
        <w:rPr>
          <w:rFonts w:ascii="Verdana" w:hAnsi="Verdana"/>
          <w:sz w:val="20"/>
          <w:szCs w:val="20"/>
        </w:rPr>
        <w:t>La entidad debe diseñar un plan de contingencia de liquidez que le permita enfrentar adecuadamente escenarios adversos en el que deba enfrentar niveles insuficientes de activos líquidos y gestionar un incremento en la exposición al riesgo de liquidez.</w:t>
      </w:r>
    </w:p>
    <w:p w14:paraId="0201B93D" w14:textId="77777777" w:rsidR="00171F95" w:rsidRDefault="00171F95" w:rsidP="009F0977">
      <w:pPr>
        <w:spacing w:after="0"/>
        <w:jc w:val="both"/>
        <w:rPr>
          <w:rFonts w:ascii="Verdana" w:hAnsi="Verdana"/>
          <w:sz w:val="20"/>
          <w:szCs w:val="20"/>
        </w:rPr>
      </w:pPr>
    </w:p>
    <w:p w14:paraId="74E7C3DD" w14:textId="77777777" w:rsidR="00171F95" w:rsidRDefault="00171F95" w:rsidP="009F0977">
      <w:pPr>
        <w:spacing w:after="0"/>
        <w:jc w:val="both"/>
        <w:rPr>
          <w:rFonts w:ascii="Verdana" w:hAnsi="Verdana"/>
          <w:sz w:val="20"/>
          <w:szCs w:val="20"/>
        </w:rPr>
      </w:pPr>
    </w:p>
    <w:p w14:paraId="536604B8" w14:textId="77777777" w:rsidR="00171F95" w:rsidRDefault="00171F95" w:rsidP="009F0977">
      <w:pPr>
        <w:spacing w:after="0"/>
        <w:jc w:val="both"/>
        <w:rPr>
          <w:rFonts w:ascii="Verdana" w:hAnsi="Verdana"/>
          <w:sz w:val="20"/>
          <w:szCs w:val="20"/>
        </w:rPr>
      </w:pPr>
    </w:p>
    <w:p w14:paraId="68900F6F" w14:textId="77777777" w:rsidR="00171F95" w:rsidRDefault="00171F95" w:rsidP="009F0977">
      <w:pPr>
        <w:spacing w:after="0"/>
        <w:jc w:val="both"/>
        <w:rPr>
          <w:rFonts w:ascii="Verdana" w:hAnsi="Verdana"/>
          <w:sz w:val="20"/>
          <w:szCs w:val="20"/>
        </w:rPr>
      </w:pPr>
    </w:p>
    <w:p w14:paraId="02941CCE" w14:textId="43CE9DFF" w:rsidR="009F0977" w:rsidRPr="00845D9C" w:rsidRDefault="009F0977" w:rsidP="009F0977">
      <w:pPr>
        <w:spacing w:after="0"/>
        <w:jc w:val="both"/>
        <w:rPr>
          <w:rFonts w:ascii="Verdana" w:hAnsi="Verdana"/>
          <w:sz w:val="20"/>
          <w:szCs w:val="20"/>
        </w:rPr>
      </w:pPr>
      <w:r w:rsidRPr="00845D9C">
        <w:rPr>
          <w:rFonts w:ascii="Verdana" w:hAnsi="Verdana"/>
          <w:sz w:val="20"/>
          <w:szCs w:val="20"/>
        </w:rPr>
        <w:lastRenderedPageBreak/>
        <w:t>1.1.2.1</w:t>
      </w:r>
      <w:r>
        <w:rPr>
          <w:rFonts w:ascii="Verdana" w:hAnsi="Verdana"/>
          <w:sz w:val="20"/>
          <w:szCs w:val="20"/>
        </w:rPr>
        <w:t>87</w:t>
      </w:r>
      <w:r w:rsidRPr="00845D9C">
        <w:rPr>
          <w:rFonts w:ascii="Verdana" w:hAnsi="Verdana"/>
          <w:sz w:val="20"/>
          <w:szCs w:val="20"/>
        </w:rPr>
        <w:t>.</w:t>
      </w:r>
    </w:p>
    <w:p w14:paraId="1D84452A" w14:textId="1EF30135" w:rsidR="00845D9C" w:rsidRDefault="00E94060" w:rsidP="00F055C2">
      <w:pPr>
        <w:jc w:val="both"/>
        <w:rPr>
          <w:rFonts w:ascii="Verdana" w:hAnsi="Verdana"/>
          <w:sz w:val="20"/>
          <w:szCs w:val="20"/>
        </w:rPr>
      </w:pPr>
      <w:r w:rsidRPr="00E94060">
        <w:rPr>
          <w:rFonts w:ascii="Verdana" w:hAnsi="Verdana"/>
          <w:sz w:val="20"/>
          <w:szCs w:val="20"/>
        </w:rPr>
        <w:t>Dicho plan debe:</w:t>
      </w:r>
    </w:p>
    <w:p w14:paraId="3B0545FF" w14:textId="47655324" w:rsidR="00B21D12" w:rsidRDefault="00816100" w:rsidP="00816100">
      <w:pPr>
        <w:pStyle w:val="Prrafodelista"/>
        <w:numPr>
          <w:ilvl w:val="0"/>
          <w:numId w:val="68"/>
        </w:numPr>
        <w:ind w:left="567" w:hanging="567"/>
        <w:jc w:val="both"/>
        <w:rPr>
          <w:rFonts w:ascii="Verdana" w:hAnsi="Verdana"/>
          <w:sz w:val="20"/>
          <w:szCs w:val="20"/>
        </w:rPr>
      </w:pPr>
      <w:r w:rsidRPr="00B21D12">
        <w:rPr>
          <w:rFonts w:ascii="Verdana" w:hAnsi="Verdana"/>
          <w:sz w:val="20"/>
          <w:szCs w:val="20"/>
        </w:rPr>
        <w:t xml:space="preserve">Contener las políticas para la gestión de exposiciones no deseadas al riesgo de liquidez y el conjunto de acciones alternativas a implementar, así como los protocolos e indicadores necesarios para su activación. </w:t>
      </w:r>
      <w:r w:rsidR="00DB4A5B">
        <w:rPr>
          <w:rFonts w:ascii="Verdana" w:hAnsi="Verdana"/>
          <w:sz w:val="20"/>
          <w:szCs w:val="20"/>
        </w:rPr>
        <w:t xml:space="preserve">Adicionalmente, el </w:t>
      </w:r>
      <w:r w:rsidR="00DB4A5B" w:rsidDel="000E6681">
        <w:rPr>
          <w:rFonts w:ascii="Verdana" w:hAnsi="Verdana"/>
          <w:sz w:val="20"/>
          <w:szCs w:val="20"/>
        </w:rPr>
        <w:t xml:space="preserve">plan </w:t>
      </w:r>
      <w:r w:rsidR="000E6681" w:rsidRPr="00B21D12">
        <w:rPr>
          <w:rFonts w:ascii="Verdana" w:hAnsi="Verdana"/>
          <w:sz w:val="20"/>
          <w:szCs w:val="20"/>
        </w:rPr>
        <w:t>debe</w:t>
      </w:r>
      <w:r w:rsidRPr="00B21D12">
        <w:rPr>
          <w:rFonts w:ascii="Verdana" w:hAnsi="Verdana"/>
          <w:sz w:val="20"/>
          <w:szCs w:val="20"/>
        </w:rPr>
        <w:t xml:space="preserve"> ser diseñado considerando los resultados de las pruebas de estrés.</w:t>
      </w:r>
    </w:p>
    <w:p w14:paraId="46681F45" w14:textId="77777777" w:rsidR="00B21D12" w:rsidRDefault="00B21D12" w:rsidP="00B21D12">
      <w:pPr>
        <w:pStyle w:val="Prrafodelista"/>
        <w:ind w:left="567"/>
        <w:jc w:val="both"/>
        <w:rPr>
          <w:rFonts w:ascii="Verdana" w:hAnsi="Verdana"/>
          <w:sz w:val="20"/>
          <w:szCs w:val="20"/>
        </w:rPr>
      </w:pPr>
    </w:p>
    <w:p w14:paraId="5F77CD3F" w14:textId="77777777" w:rsidR="00B21D12" w:rsidRDefault="00816100" w:rsidP="00816100">
      <w:pPr>
        <w:pStyle w:val="Prrafodelista"/>
        <w:numPr>
          <w:ilvl w:val="0"/>
          <w:numId w:val="68"/>
        </w:numPr>
        <w:ind w:left="567" w:hanging="567"/>
        <w:jc w:val="both"/>
        <w:rPr>
          <w:rFonts w:ascii="Verdana" w:hAnsi="Verdana"/>
          <w:sz w:val="20"/>
          <w:szCs w:val="20"/>
        </w:rPr>
      </w:pPr>
      <w:r w:rsidRPr="00B21D12">
        <w:rPr>
          <w:rFonts w:ascii="Verdana" w:hAnsi="Verdana"/>
          <w:sz w:val="20"/>
          <w:szCs w:val="20"/>
        </w:rPr>
        <w:t>Ser consistente con la complejidad de la entidad, el perfil de riesgo, el alcance de las operaciones y el rol dentro del sistema financiero.</w:t>
      </w:r>
    </w:p>
    <w:p w14:paraId="1209E49F" w14:textId="77777777" w:rsidR="00B21D12" w:rsidRPr="00B21D12" w:rsidRDefault="00B21D12" w:rsidP="00B21D12">
      <w:pPr>
        <w:pStyle w:val="Prrafodelista"/>
        <w:rPr>
          <w:rFonts w:ascii="Verdana" w:hAnsi="Verdana"/>
          <w:sz w:val="20"/>
          <w:szCs w:val="20"/>
        </w:rPr>
      </w:pPr>
    </w:p>
    <w:p w14:paraId="786073E2" w14:textId="46790C19" w:rsidR="00816100" w:rsidRPr="00B21D12" w:rsidRDefault="00816100" w:rsidP="00816100">
      <w:pPr>
        <w:pStyle w:val="Prrafodelista"/>
        <w:numPr>
          <w:ilvl w:val="0"/>
          <w:numId w:val="68"/>
        </w:numPr>
        <w:ind w:left="567" w:hanging="567"/>
        <w:jc w:val="both"/>
        <w:rPr>
          <w:rFonts w:ascii="Verdana" w:hAnsi="Verdana"/>
          <w:sz w:val="20"/>
          <w:szCs w:val="20"/>
        </w:rPr>
      </w:pPr>
      <w:r w:rsidRPr="00B21D12">
        <w:rPr>
          <w:rFonts w:ascii="Verdana" w:hAnsi="Verdana"/>
          <w:sz w:val="20"/>
          <w:szCs w:val="20"/>
        </w:rPr>
        <w:t xml:space="preserve">Contener de manera explícita el plan de contingencia de fondeo, el cual </w:t>
      </w:r>
      <w:r w:rsidR="00D95049">
        <w:rPr>
          <w:rFonts w:ascii="Verdana" w:hAnsi="Verdana"/>
          <w:sz w:val="20"/>
          <w:szCs w:val="20"/>
        </w:rPr>
        <w:t>incluye</w:t>
      </w:r>
      <w:r w:rsidRPr="00B21D12">
        <w:rPr>
          <w:rFonts w:ascii="Verdana" w:hAnsi="Verdana"/>
          <w:sz w:val="20"/>
          <w:szCs w:val="20"/>
        </w:rPr>
        <w:t xml:space="preserve"> la estrategia para hacer frente y gestionar las crisis de liquidez. Este debe incluir las políticas y procedimientos para hacer frente a la no disponibilidad o escasez de recursos líquidos en una situación de estrés de liquidez. Sin embargo, el acceso a los apoyos transitorios de liquidez brindados por el Banco de la República debe ser el último paso en los planes de contingencia de fondeo, una vez se hayan agotado las demás instancias, pues no se trata de una línea de crédito contingente comprometida.</w:t>
      </w:r>
    </w:p>
    <w:p w14:paraId="58E08A3E" w14:textId="40E2A7DC" w:rsidR="00F055C2" w:rsidRPr="006A4FD4" w:rsidRDefault="00F055C2" w:rsidP="00F055C2">
      <w:pPr>
        <w:spacing w:after="0"/>
        <w:jc w:val="both"/>
        <w:rPr>
          <w:rFonts w:ascii="Verdana" w:hAnsi="Verdana"/>
          <w:sz w:val="20"/>
          <w:szCs w:val="20"/>
        </w:rPr>
      </w:pPr>
      <w:r w:rsidRPr="006A4FD4">
        <w:rPr>
          <w:rFonts w:ascii="Verdana" w:hAnsi="Verdana"/>
          <w:sz w:val="20"/>
          <w:szCs w:val="20"/>
        </w:rPr>
        <w:t>1.1.2.1</w:t>
      </w:r>
      <w:r w:rsidR="00E7458C">
        <w:rPr>
          <w:rFonts w:ascii="Verdana" w:hAnsi="Verdana"/>
          <w:sz w:val="20"/>
          <w:szCs w:val="20"/>
        </w:rPr>
        <w:t>88</w:t>
      </w:r>
      <w:r w:rsidRPr="006A4FD4">
        <w:rPr>
          <w:rFonts w:ascii="Verdana" w:hAnsi="Verdana"/>
          <w:sz w:val="20"/>
          <w:szCs w:val="20"/>
        </w:rPr>
        <w:t>.</w:t>
      </w:r>
    </w:p>
    <w:p w14:paraId="392441A5" w14:textId="1D1DED36" w:rsidR="00F055C2" w:rsidRDefault="009470A8" w:rsidP="00F055C2">
      <w:pPr>
        <w:jc w:val="both"/>
        <w:rPr>
          <w:rFonts w:ascii="Verdana" w:hAnsi="Verdana"/>
          <w:sz w:val="20"/>
          <w:szCs w:val="20"/>
        </w:rPr>
      </w:pPr>
      <w:r w:rsidRPr="009470A8">
        <w:rPr>
          <w:rFonts w:ascii="Verdana" w:hAnsi="Verdana"/>
          <w:sz w:val="20"/>
          <w:szCs w:val="20"/>
        </w:rPr>
        <w:t>Sin perjuicio del cumplimiento de los anteriores aspectos, el plan contingencia de liquidez debe considerar dentro del diseño del plan de acción por lo menos los siguientes aspectos:</w:t>
      </w:r>
    </w:p>
    <w:p w14:paraId="6A049EE5" w14:textId="77777777" w:rsidR="00340EAE" w:rsidRDefault="00340EAE" w:rsidP="00340EAE">
      <w:pPr>
        <w:pStyle w:val="Prrafodelista"/>
        <w:numPr>
          <w:ilvl w:val="0"/>
          <w:numId w:val="69"/>
        </w:numPr>
        <w:ind w:left="567" w:hanging="567"/>
        <w:jc w:val="both"/>
        <w:rPr>
          <w:rFonts w:ascii="Verdana" w:hAnsi="Verdana"/>
          <w:sz w:val="20"/>
          <w:szCs w:val="20"/>
        </w:rPr>
      </w:pPr>
      <w:r w:rsidRPr="00340EAE">
        <w:rPr>
          <w:rFonts w:ascii="Verdana" w:hAnsi="Verdana"/>
          <w:sz w:val="20"/>
          <w:szCs w:val="20"/>
        </w:rPr>
        <w:t>El acceso y disponibilidad de fuentes de fondeo bajo diferentes escenarios adversos de estrés de mercado, incrementos en los costos de transacción y en la liquidación de activos y en los requerimientos de garantías y colaterales.</w:t>
      </w:r>
    </w:p>
    <w:p w14:paraId="59FACB5B" w14:textId="77777777" w:rsidR="00340EAE" w:rsidRDefault="00340EAE" w:rsidP="00340EAE">
      <w:pPr>
        <w:pStyle w:val="Prrafodelista"/>
        <w:ind w:left="567"/>
        <w:jc w:val="both"/>
        <w:rPr>
          <w:rFonts w:ascii="Verdana" w:hAnsi="Verdana"/>
          <w:sz w:val="20"/>
          <w:szCs w:val="20"/>
        </w:rPr>
      </w:pPr>
    </w:p>
    <w:p w14:paraId="763584CA" w14:textId="77777777" w:rsidR="00340EAE" w:rsidRDefault="00340EAE" w:rsidP="00340EAE">
      <w:pPr>
        <w:pStyle w:val="Prrafodelista"/>
        <w:numPr>
          <w:ilvl w:val="0"/>
          <w:numId w:val="69"/>
        </w:numPr>
        <w:ind w:left="567" w:hanging="567"/>
        <w:jc w:val="both"/>
        <w:rPr>
          <w:rFonts w:ascii="Verdana" w:hAnsi="Verdana"/>
          <w:sz w:val="20"/>
          <w:szCs w:val="20"/>
        </w:rPr>
      </w:pPr>
      <w:r w:rsidRPr="00340EAE">
        <w:rPr>
          <w:rFonts w:ascii="Verdana" w:hAnsi="Verdana"/>
          <w:sz w:val="20"/>
          <w:szCs w:val="20"/>
        </w:rPr>
        <w:t>La posibilidad de obtener recursos líquidos mediante operaciones de mercado monetario (repos, simultáneas, transferencias temporales de valores, préstamos interbancarios, entre otros), estableciendo montos estimados, garantías y posibles contrapartes dispuestas a proveer el financiamiento requerido en la situación económica y financiera que se prevea. Y la posibilidad de conseguir recursos líquidos nuevos, ya sean frescos o por medio de renovaciones de depósitos y/o de créditos.</w:t>
      </w:r>
    </w:p>
    <w:p w14:paraId="7E341F0F" w14:textId="77777777" w:rsidR="00340EAE" w:rsidRPr="00340EAE" w:rsidRDefault="00340EAE" w:rsidP="00340EAE">
      <w:pPr>
        <w:pStyle w:val="Prrafodelista"/>
        <w:rPr>
          <w:rFonts w:ascii="Verdana" w:hAnsi="Verdana"/>
          <w:sz w:val="20"/>
          <w:szCs w:val="20"/>
        </w:rPr>
      </w:pPr>
    </w:p>
    <w:p w14:paraId="43C2BBB2" w14:textId="77777777" w:rsidR="00340EAE" w:rsidRDefault="00340EAE" w:rsidP="00340EAE">
      <w:pPr>
        <w:pStyle w:val="Prrafodelista"/>
        <w:numPr>
          <w:ilvl w:val="0"/>
          <w:numId w:val="69"/>
        </w:numPr>
        <w:ind w:left="567" w:hanging="567"/>
        <w:jc w:val="both"/>
        <w:rPr>
          <w:rFonts w:ascii="Verdana" w:hAnsi="Verdana"/>
          <w:sz w:val="20"/>
          <w:szCs w:val="20"/>
        </w:rPr>
      </w:pPr>
      <w:r w:rsidRPr="00340EAE">
        <w:rPr>
          <w:rFonts w:ascii="Verdana" w:hAnsi="Verdana"/>
          <w:sz w:val="20"/>
          <w:szCs w:val="20"/>
        </w:rPr>
        <w:t>La cesión y/o venta de inversiones, cartera de créditos u otros activos y monto de eventuales pérdidas que le tocaría asumir por ello a la entidad.</w:t>
      </w:r>
    </w:p>
    <w:p w14:paraId="20A77C06" w14:textId="77777777" w:rsidR="00340EAE" w:rsidRPr="00340EAE" w:rsidRDefault="00340EAE" w:rsidP="00340EAE">
      <w:pPr>
        <w:pStyle w:val="Prrafodelista"/>
        <w:rPr>
          <w:rFonts w:ascii="Verdana" w:hAnsi="Verdana"/>
          <w:sz w:val="20"/>
          <w:szCs w:val="20"/>
        </w:rPr>
      </w:pPr>
    </w:p>
    <w:p w14:paraId="08CA932E" w14:textId="18438CA5" w:rsidR="00340EAE" w:rsidRDefault="00340EAE" w:rsidP="00340EAE">
      <w:pPr>
        <w:pStyle w:val="Prrafodelista"/>
        <w:numPr>
          <w:ilvl w:val="0"/>
          <w:numId w:val="69"/>
        </w:numPr>
        <w:ind w:left="567" w:hanging="567"/>
        <w:jc w:val="both"/>
        <w:rPr>
          <w:rFonts w:ascii="Verdana" w:hAnsi="Verdana"/>
          <w:sz w:val="20"/>
          <w:szCs w:val="20"/>
        </w:rPr>
      </w:pPr>
      <w:r w:rsidRPr="00340EAE">
        <w:rPr>
          <w:rFonts w:ascii="Verdana" w:hAnsi="Verdana"/>
          <w:sz w:val="20"/>
          <w:szCs w:val="20"/>
        </w:rPr>
        <w:t xml:space="preserve">Los posibles apoyos de liquidez de la casa matriz, de accionistas o, en general, de partes relacionadas, a nivel local o internacional, la oportunidad y plazo de </w:t>
      </w:r>
      <w:r w:rsidR="004E4492">
        <w:rPr>
          <w:rFonts w:ascii="Verdana" w:hAnsi="Verdana"/>
          <w:sz w:val="20"/>
          <w:szCs w:val="20"/>
        </w:rPr>
        <w:t>estos apoyos</w:t>
      </w:r>
      <w:r w:rsidRPr="00340EAE">
        <w:rPr>
          <w:rFonts w:ascii="Verdana" w:hAnsi="Verdana"/>
          <w:sz w:val="20"/>
          <w:szCs w:val="20"/>
        </w:rPr>
        <w:t xml:space="preserve"> y los costos a asumir.</w:t>
      </w:r>
    </w:p>
    <w:p w14:paraId="5E7CFE70" w14:textId="77777777" w:rsidR="00340EAE" w:rsidRPr="00340EAE" w:rsidRDefault="00340EAE" w:rsidP="00340EAE">
      <w:pPr>
        <w:pStyle w:val="Prrafodelista"/>
        <w:rPr>
          <w:rFonts w:ascii="Verdana" w:hAnsi="Verdana"/>
          <w:sz w:val="20"/>
          <w:szCs w:val="20"/>
        </w:rPr>
      </w:pPr>
    </w:p>
    <w:p w14:paraId="1FED7B36" w14:textId="77777777" w:rsidR="00340EAE" w:rsidRDefault="00340EAE" w:rsidP="00340EAE">
      <w:pPr>
        <w:pStyle w:val="Prrafodelista"/>
        <w:numPr>
          <w:ilvl w:val="0"/>
          <w:numId w:val="69"/>
        </w:numPr>
        <w:ind w:left="567" w:hanging="567"/>
        <w:jc w:val="both"/>
        <w:rPr>
          <w:rFonts w:ascii="Verdana" w:hAnsi="Verdana"/>
          <w:sz w:val="20"/>
          <w:szCs w:val="20"/>
        </w:rPr>
      </w:pPr>
      <w:r w:rsidRPr="00340EAE">
        <w:rPr>
          <w:rFonts w:ascii="Verdana" w:hAnsi="Verdana"/>
          <w:sz w:val="20"/>
          <w:szCs w:val="20"/>
        </w:rPr>
        <w:t>Posibles apoyos de liquidez del Banco de la República, sus requisitos, costos, oportunidad y plazo.</w:t>
      </w:r>
    </w:p>
    <w:p w14:paraId="749C93DE" w14:textId="77777777" w:rsidR="00340EAE" w:rsidRPr="00340EAE" w:rsidRDefault="00340EAE" w:rsidP="00340EAE">
      <w:pPr>
        <w:pStyle w:val="Prrafodelista"/>
        <w:rPr>
          <w:rFonts w:ascii="Verdana" w:hAnsi="Verdana"/>
          <w:sz w:val="20"/>
          <w:szCs w:val="20"/>
        </w:rPr>
      </w:pPr>
    </w:p>
    <w:p w14:paraId="75396028" w14:textId="77777777" w:rsidR="00340EAE" w:rsidRDefault="00340EAE" w:rsidP="00340EAE">
      <w:pPr>
        <w:pStyle w:val="Prrafodelista"/>
        <w:numPr>
          <w:ilvl w:val="0"/>
          <w:numId w:val="69"/>
        </w:numPr>
        <w:ind w:left="567" w:hanging="567"/>
        <w:jc w:val="both"/>
        <w:rPr>
          <w:rFonts w:ascii="Verdana" w:hAnsi="Verdana"/>
          <w:sz w:val="20"/>
          <w:szCs w:val="20"/>
        </w:rPr>
      </w:pPr>
      <w:r w:rsidRPr="00340EAE">
        <w:rPr>
          <w:rFonts w:ascii="Verdana" w:hAnsi="Verdana"/>
          <w:sz w:val="20"/>
          <w:szCs w:val="20"/>
        </w:rPr>
        <w:t>Planes en materia de comunicación hacia el supervisor, los grupos de interés, el público en general y los medios de comunicación, en caso de rumores o de difusión de información que pueda afectar negativamente la liquidez de la entidad.</w:t>
      </w:r>
    </w:p>
    <w:p w14:paraId="352AE3E8" w14:textId="77777777" w:rsidR="00340EAE" w:rsidRPr="00340EAE" w:rsidRDefault="00340EAE" w:rsidP="00340EAE">
      <w:pPr>
        <w:pStyle w:val="Prrafodelista"/>
        <w:rPr>
          <w:rFonts w:ascii="Verdana" w:hAnsi="Verdana"/>
          <w:sz w:val="20"/>
          <w:szCs w:val="20"/>
        </w:rPr>
      </w:pPr>
    </w:p>
    <w:p w14:paraId="06496E81" w14:textId="77777777" w:rsidR="00340EAE" w:rsidRDefault="00340EAE" w:rsidP="00340EAE">
      <w:pPr>
        <w:pStyle w:val="Prrafodelista"/>
        <w:numPr>
          <w:ilvl w:val="0"/>
          <w:numId w:val="69"/>
        </w:numPr>
        <w:ind w:left="567" w:hanging="567"/>
        <w:jc w:val="both"/>
        <w:rPr>
          <w:rFonts w:ascii="Verdana" w:hAnsi="Verdana"/>
          <w:sz w:val="20"/>
          <w:szCs w:val="20"/>
        </w:rPr>
      </w:pPr>
      <w:r w:rsidRPr="00340EAE">
        <w:rPr>
          <w:rFonts w:ascii="Verdana" w:hAnsi="Verdana"/>
          <w:sz w:val="20"/>
          <w:szCs w:val="20"/>
        </w:rPr>
        <w:t>Procesos de priorización en donde se detalle cuándo y cómo cada una de las acciones puede y debe ser ejecutada, con un alto grado de flexibilidad que le permita a la entidad responder de forma rápida e informada en diferentes situaciones.</w:t>
      </w:r>
    </w:p>
    <w:p w14:paraId="4A210874" w14:textId="77777777" w:rsidR="00340EAE" w:rsidRPr="00340EAE" w:rsidRDefault="00340EAE" w:rsidP="00340EAE">
      <w:pPr>
        <w:pStyle w:val="Prrafodelista"/>
        <w:rPr>
          <w:rFonts w:ascii="Verdana" w:hAnsi="Verdana"/>
          <w:sz w:val="20"/>
          <w:szCs w:val="20"/>
        </w:rPr>
      </w:pPr>
    </w:p>
    <w:p w14:paraId="6C66CEE9" w14:textId="77777777" w:rsidR="00340EAE" w:rsidRDefault="00340EAE" w:rsidP="00340EAE">
      <w:pPr>
        <w:pStyle w:val="Prrafodelista"/>
        <w:numPr>
          <w:ilvl w:val="0"/>
          <w:numId w:val="69"/>
        </w:numPr>
        <w:ind w:left="567" w:hanging="567"/>
        <w:jc w:val="both"/>
        <w:rPr>
          <w:rFonts w:ascii="Verdana" w:hAnsi="Verdana"/>
          <w:sz w:val="20"/>
          <w:szCs w:val="20"/>
        </w:rPr>
      </w:pPr>
      <w:r w:rsidRPr="00340EAE">
        <w:rPr>
          <w:rFonts w:ascii="Verdana" w:hAnsi="Verdana"/>
          <w:sz w:val="20"/>
          <w:szCs w:val="20"/>
        </w:rPr>
        <w:t>Especificación de roles y responsabilidades, de la autoridad para invocar el plan de contingencia de liquidez, los funcionarios y áreas a cargo de su implementación, así como la constitución del grupo de crisis (compuesto por diferentes áreas de la entidad) que facilite la coordinación y comunicación interna para la toma de decisiones durante un periodo de crisis de liquidez.</w:t>
      </w:r>
    </w:p>
    <w:p w14:paraId="3F1CA7AC" w14:textId="77777777" w:rsidR="00340EAE" w:rsidRPr="00340EAE" w:rsidRDefault="00340EAE" w:rsidP="00340EAE">
      <w:pPr>
        <w:pStyle w:val="Prrafodelista"/>
        <w:rPr>
          <w:rFonts w:ascii="Verdana" w:hAnsi="Verdana"/>
          <w:sz w:val="20"/>
          <w:szCs w:val="20"/>
        </w:rPr>
      </w:pPr>
    </w:p>
    <w:p w14:paraId="07354C29" w14:textId="642B4E46" w:rsidR="002348D3" w:rsidRPr="00340EAE" w:rsidRDefault="00340EAE" w:rsidP="00340EAE">
      <w:pPr>
        <w:pStyle w:val="Prrafodelista"/>
        <w:numPr>
          <w:ilvl w:val="0"/>
          <w:numId w:val="69"/>
        </w:numPr>
        <w:ind w:left="567" w:hanging="567"/>
        <w:jc w:val="both"/>
        <w:rPr>
          <w:rFonts w:ascii="Verdana" w:hAnsi="Verdana"/>
          <w:sz w:val="20"/>
          <w:szCs w:val="20"/>
        </w:rPr>
      </w:pPr>
      <w:r w:rsidRPr="00340EAE">
        <w:rPr>
          <w:rFonts w:ascii="Verdana" w:hAnsi="Verdana"/>
          <w:sz w:val="20"/>
          <w:szCs w:val="20"/>
        </w:rPr>
        <w:t xml:space="preserve">Evaluación y proceso de pruebas sobre funcionamiento, en donde se prueben los aspectos estratégicos y operativos del plan, incluyendo los protocolos a seguir, la estrategia de comunicaciones, la operatividad de las líneas de liquidez disponibles </w:t>
      </w:r>
      <w:r w:rsidRPr="00340EAE">
        <w:rPr>
          <w:rFonts w:ascii="Verdana" w:hAnsi="Verdana"/>
          <w:sz w:val="20"/>
          <w:szCs w:val="20"/>
        </w:rPr>
        <w:lastRenderedPageBreak/>
        <w:t>y los roles y responsabilidades que deben ejercer cada uno de los funcionarios involucrados.</w:t>
      </w:r>
    </w:p>
    <w:p w14:paraId="5F5F042A" w14:textId="77777777" w:rsidR="00810D6A" w:rsidRDefault="00810D6A" w:rsidP="00671365">
      <w:pPr>
        <w:spacing w:after="0"/>
        <w:jc w:val="both"/>
        <w:rPr>
          <w:rFonts w:ascii="Verdana" w:hAnsi="Verdana"/>
          <w:sz w:val="20"/>
          <w:szCs w:val="20"/>
        </w:rPr>
      </w:pPr>
    </w:p>
    <w:p w14:paraId="3DCB42D2" w14:textId="68DAB574" w:rsidR="00671365" w:rsidRPr="00671365" w:rsidRDefault="00671365" w:rsidP="00671365">
      <w:pPr>
        <w:spacing w:after="0"/>
        <w:jc w:val="both"/>
        <w:rPr>
          <w:rFonts w:ascii="Verdana" w:hAnsi="Verdana"/>
          <w:sz w:val="20"/>
          <w:szCs w:val="20"/>
        </w:rPr>
      </w:pPr>
      <w:r w:rsidRPr="00671365">
        <w:rPr>
          <w:rFonts w:ascii="Verdana" w:hAnsi="Verdana"/>
          <w:sz w:val="20"/>
          <w:szCs w:val="20"/>
        </w:rPr>
        <w:t>1.1.2.18</w:t>
      </w:r>
      <w:r w:rsidR="004C30C9">
        <w:rPr>
          <w:rFonts w:ascii="Verdana" w:hAnsi="Verdana"/>
          <w:sz w:val="20"/>
          <w:szCs w:val="20"/>
        </w:rPr>
        <w:t>9</w:t>
      </w:r>
      <w:r w:rsidRPr="00671365">
        <w:rPr>
          <w:rFonts w:ascii="Verdana" w:hAnsi="Verdana"/>
          <w:sz w:val="20"/>
          <w:szCs w:val="20"/>
        </w:rPr>
        <w:t>.</w:t>
      </w:r>
    </w:p>
    <w:p w14:paraId="39CF5220" w14:textId="362A1B29" w:rsidR="00671365" w:rsidRPr="00671365" w:rsidRDefault="00810D6A" w:rsidP="00671365">
      <w:pPr>
        <w:jc w:val="both"/>
        <w:rPr>
          <w:rFonts w:ascii="Verdana" w:hAnsi="Verdana"/>
          <w:sz w:val="20"/>
          <w:szCs w:val="20"/>
        </w:rPr>
      </w:pPr>
      <w:r w:rsidRPr="00810D6A">
        <w:rPr>
          <w:rFonts w:ascii="Verdana" w:hAnsi="Verdana"/>
          <w:sz w:val="20"/>
          <w:szCs w:val="20"/>
        </w:rPr>
        <w:t xml:space="preserve">Los EC deben mantener desmaterializados o inmaterializados pagarés que incorporen obligaciones cuyo </w:t>
      </w:r>
      <w:r w:rsidR="00BE5013">
        <w:rPr>
          <w:rFonts w:ascii="Verdana" w:hAnsi="Verdana"/>
          <w:sz w:val="20"/>
          <w:szCs w:val="20"/>
        </w:rPr>
        <w:t>v</w:t>
      </w:r>
      <w:r w:rsidRPr="00810D6A">
        <w:rPr>
          <w:rFonts w:ascii="Verdana" w:hAnsi="Verdana"/>
          <w:sz w:val="20"/>
          <w:szCs w:val="20"/>
        </w:rPr>
        <w:t xml:space="preserve">alor de </w:t>
      </w:r>
      <w:r w:rsidR="00BE5013">
        <w:rPr>
          <w:rFonts w:ascii="Verdana" w:hAnsi="Verdana"/>
          <w:sz w:val="20"/>
          <w:szCs w:val="20"/>
        </w:rPr>
        <w:t>r</w:t>
      </w:r>
      <w:r w:rsidRPr="00810D6A">
        <w:rPr>
          <w:rFonts w:ascii="Verdana" w:hAnsi="Verdana"/>
          <w:sz w:val="20"/>
          <w:szCs w:val="20"/>
        </w:rPr>
        <w:t>ecibo, es decir, el saldo pendiente de pago una vez aplicado el porcentaje de recibo que el Banco de la República señale mediante reglamentación de carácter general, represente por lo menos el cupo o monto máximo para apoyos transitorios de liquidez definido por esa autoridad. Para efectos de verificar el cumplimiento de lo anterior, los EC tendrán en cuenta el siguiente indicador:</w:t>
      </w:r>
    </w:p>
    <w:p w14:paraId="7D8800BF" w14:textId="77777777" w:rsidR="00B96EC5" w:rsidRPr="004E1D4F" w:rsidRDefault="00B96EC5" w:rsidP="00B96EC5">
      <w:pPr>
        <w:pStyle w:val="Prrafodelista"/>
        <w:ind w:left="0"/>
        <w:jc w:val="both"/>
        <w:rPr>
          <w:rFonts w:ascii="Arial" w:hAnsi="Arial" w:cs="Arial"/>
          <w:b/>
          <w:sz w:val="18"/>
          <w:lang w:val="es-ES_tradnl"/>
        </w:rPr>
      </w:pPr>
    </w:p>
    <w:p w14:paraId="6591A4D5" w14:textId="695F0684" w:rsidR="00B96EC5" w:rsidRPr="00B96EC5" w:rsidRDefault="00DD3E29" w:rsidP="00B96EC5">
      <w:pPr>
        <w:pStyle w:val="Prrafodelista"/>
        <w:ind w:left="0"/>
        <w:jc w:val="center"/>
        <w:rPr>
          <w:rFonts w:ascii="Arial" w:hAnsi="Arial" w:cs="Arial"/>
          <w:bCs/>
          <w:sz w:val="20"/>
          <w:szCs w:val="20"/>
          <w:lang w:val="es-ES_tradnl"/>
        </w:rPr>
      </w:pPr>
      <m:oMathPara>
        <m:oMath>
          <m:sSub>
            <m:sSubPr>
              <m:ctrlPr>
                <w:rPr>
                  <w:rFonts w:ascii="Cambria Math" w:hAnsi="Cambria Math" w:cs="Arial"/>
                  <w:bCs/>
                  <w:i/>
                  <w:sz w:val="20"/>
                  <w:szCs w:val="20"/>
                  <w:lang w:val="es-ES_tradnl"/>
                </w:rPr>
              </m:ctrlPr>
            </m:sSubPr>
            <m:e>
              <m:r>
                <w:rPr>
                  <w:rFonts w:ascii="Cambria Math" w:hAnsi="Cambria Math" w:cs="Arial"/>
                  <w:sz w:val="20"/>
                  <w:szCs w:val="20"/>
                  <w:lang w:val="es-ES_tradnl"/>
                </w:rPr>
                <m:t>Raz</m:t>
              </m:r>
              <m:r>
                <w:rPr>
                  <w:rFonts w:ascii="Cambria Math" w:hAnsi="Cambria Math" w:cs="Arial"/>
                  <w:sz w:val="20"/>
                  <w:szCs w:val="20"/>
                  <w:lang w:val="es-ES_tradnl"/>
                </w:rPr>
                <m:t>ó</m:t>
              </m:r>
              <m:r>
                <w:rPr>
                  <w:rFonts w:ascii="Cambria Math" w:hAnsi="Cambria Math" w:cs="Arial"/>
                  <w:sz w:val="20"/>
                  <w:szCs w:val="20"/>
                  <w:lang w:val="es-ES_tradnl"/>
                </w:rPr>
                <m:t>n</m:t>
              </m:r>
              <m:r>
                <w:rPr>
                  <w:rFonts w:ascii="Cambria Math" w:hAnsi="Cambria Math" w:cs="Arial"/>
                  <w:sz w:val="20"/>
                  <w:szCs w:val="20"/>
                  <w:lang w:val="es-ES_tradnl"/>
                </w:rPr>
                <m:t xml:space="preserve"> </m:t>
              </m:r>
              <m:r>
                <w:rPr>
                  <w:rFonts w:ascii="Cambria Math" w:hAnsi="Cambria Math" w:cs="Arial"/>
                  <w:sz w:val="20"/>
                  <w:szCs w:val="20"/>
                  <w:lang w:val="es-ES_tradnl"/>
                </w:rPr>
                <m:t>de</m:t>
              </m:r>
              <m:r>
                <w:rPr>
                  <w:rFonts w:ascii="Cambria Math" w:hAnsi="Cambria Math" w:cs="Arial"/>
                  <w:sz w:val="20"/>
                  <w:szCs w:val="20"/>
                  <w:lang w:val="es-ES_tradnl"/>
                </w:rPr>
                <m:t xml:space="preserve"> </m:t>
              </m:r>
              <m:r>
                <w:rPr>
                  <w:rFonts w:ascii="Cambria Math" w:hAnsi="Cambria Math" w:cs="Arial"/>
                  <w:sz w:val="20"/>
                  <w:szCs w:val="20"/>
                  <w:lang w:val="es-ES_tradnl"/>
                </w:rPr>
                <m:t>Cobertura</m:t>
              </m:r>
            </m:e>
            <m:sub>
              <m:r>
                <w:rPr>
                  <w:rFonts w:ascii="Cambria Math" w:hAnsi="Cambria Math" w:cs="Arial"/>
                  <w:sz w:val="20"/>
                  <w:szCs w:val="20"/>
                  <w:lang w:val="es-ES_tradnl"/>
                </w:rPr>
                <m:t>i</m:t>
              </m:r>
            </m:sub>
          </m:sSub>
          <m:r>
            <w:rPr>
              <w:rFonts w:ascii="Cambria Math" w:hAnsi="Cambria Math" w:cs="Arial"/>
              <w:sz w:val="20"/>
              <w:szCs w:val="20"/>
              <w:lang w:val="es-ES_tradnl"/>
            </w:rPr>
            <m:t xml:space="preserve">= </m:t>
          </m:r>
          <m:f>
            <m:fPr>
              <m:ctrlPr>
                <w:rPr>
                  <w:rFonts w:ascii="Cambria Math" w:hAnsi="Cambria Math" w:cs="Arial"/>
                  <w:bCs/>
                  <w:i/>
                  <w:sz w:val="20"/>
                  <w:szCs w:val="20"/>
                  <w:lang w:val="es-ES_tradnl"/>
                </w:rPr>
              </m:ctrlPr>
            </m:fPr>
            <m:num>
              <m:sSub>
                <m:sSubPr>
                  <m:ctrlPr>
                    <w:rPr>
                      <w:rFonts w:ascii="Cambria Math" w:hAnsi="Cambria Math" w:cs="Arial"/>
                      <w:bCs/>
                      <w:i/>
                      <w:sz w:val="20"/>
                      <w:szCs w:val="20"/>
                      <w:lang w:val="es-ES_tradnl"/>
                    </w:rPr>
                  </m:ctrlPr>
                </m:sSubPr>
                <m:e>
                  <m:r>
                    <w:rPr>
                      <w:rFonts w:ascii="Cambria Math" w:hAnsi="Cambria Math" w:cs="Arial"/>
                      <w:sz w:val="20"/>
                      <w:szCs w:val="20"/>
                      <w:lang w:val="es-ES_tradnl"/>
                    </w:rPr>
                    <m:t>Valor</m:t>
                  </m:r>
                  <m:r>
                    <w:rPr>
                      <w:rFonts w:ascii="Cambria Math" w:hAnsi="Cambria Math" w:cs="Arial"/>
                      <w:sz w:val="20"/>
                      <w:szCs w:val="20"/>
                      <w:lang w:val="es-ES_tradnl"/>
                    </w:rPr>
                    <m:t xml:space="preserve"> </m:t>
                  </m:r>
                  <m:r>
                    <w:rPr>
                      <w:rFonts w:ascii="Cambria Math" w:hAnsi="Cambria Math" w:cs="Arial"/>
                      <w:sz w:val="20"/>
                      <w:szCs w:val="20"/>
                      <w:lang w:val="es-ES_tradnl"/>
                    </w:rPr>
                    <m:t>de</m:t>
                  </m:r>
                  <m:r>
                    <w:rPr>
                      <w:rFonts w:ascii="Cambria Math" w:hAnsi="Cambria Math" w:cs="Arial"/>
                      <w:sz w:val="20"/>
                      <w:szCs w:val="20"/>
                      <w:lang w:val="es-ES_tradnl"/>
                    </w:rPr>
                    <m:t xml:space="preserve"> </m:t>
                  </m:r>
                  <m:r>
                    <w:rPr>
                      <w:rFonts w:ascii="Cambria Math" w:hAnsi="Cambria Math" w:cs="Arial"/>
                      <w:sz w:val="20"/>
                      <w:szCs w:val="20"/>
                      <w:lang w:val="es-ES_tradnl"/>
                    </w:rPr>
                    <m:t>Recibo</m:t>
                  </m:r>
                </m:e>
                <m:sub>
                  <m:r>
                    <w:rPr>
                      <w:rFonts w:ascii="Cambria Math" w:hAnsi="Cambria Math" w:cs="Arial"/>
                      <w:sz w:val="20"/>
                      <w:szCs w:val="20"/>
                      <w:lang w:val="es-ES_tradnl"/>
                    </w:rPr>
                    <m:t>i</m:t>
                  </m:r>
                </m:sub>
              </m:sSub>
            </m:num>
            <m:den>
              <m:r>
                <w:rPr>
                  <w:rFonts w:ascii="Cambria Math" w:hAnsi="Cambria Math" w:cs="Arial"/>
                  <w:sz w:val="20"/>
                  <w:szCs w:val="20"/>
                  <w:lang w:val="es-ES_tradnl"/>
                </w:rPr>
                <m:t>Cupo</m:t>
              </m:r>
              <m:r>
                <w:rPr>
                  <w:rFonts w:ascii="Cambria Math" w:hAnsi="Cambria Math" w:cs="Arial"/>
                  <w:sz w:val="20"/>
                  <w:szCs w:val="20"/>
                  <w:lang w:val="es-ES_tradnl"/>
                </w:rPr>
                <m:t xml:space="preserve"> </m:t>
              </m:r>
              <m:r>
                <w:rPr>
                  <w:rFonts w:ascii="Cambria Math" w:hAnsi="Cambria Math" w:cs="Arial"/>
                  <w:sz w:val="20"/>
                  <w:szCs w:val="20"/>
                  <w:lang w:val="es-ES_tradnl"/>
                </w:rPr>
                <m:t>m</m:t>
              </m:r>
              <m:r>
                <w:rPr>
                  <w:rFonts w:ascii="Cambria Math" w:hAnsi="Cambria Math" w:cs="Arial"/>
                  <w:sz w:val="20"/>
                  <w:szCs w:val="20"/>
                  <w:lang w:val="es-ES_tradnl"/>
                </w:rPr>
                <m:t>á</m:t>
              </m:r>
              <m:r>
                <w:rPr>
                  <w:rFonts w:ascii="Cambria Math" w:hAnsi="Cambria Math" w:cs="Arial"/>
                  <w:sz w:val="20"/>
                  <w:szCs w:val="20"/>
                  <w:lang w:val="es-ES_tradnl"/>
                </w:rPr>
                <m:t>ximo</m:t>
              </m:r>
              <m:r>
                <w:rPr>
                  <w:rFonts w:ascii="Cambria Math" w:hAnsi="Cambria Math" w:cs="Arial"/>
                  <w:sz w:val="20"/>
                  <w:szCs w:val="20"/>
                  <w:lang w:val="es-ES_tradnl"/>
                </w:rPr>
                <m:t xml:space="preserve"> </m:t>
              </m:r>
              <m:r>
                <w:rPr>
                  <w:rFonts w:ascii="Cambria Math" w:hAnsi="Cambria Math" w:cs="Arial"/>
                  <w:sz w:val="20"/>
                  <w:szCs w:val="20"/>
                  <w:lang w:val="es-ES_tradnl"/>
                </w:rPr>
                <m:t>establecido</m:t>
              </m:r>
              <m:r>
                <w:rPr>
                  <w:rFonts w:ascii="Cambria Math" w:hAnsi="Cambria Math" w:cs="Arial"/>
                  <w:sz w:val="20"/>
                  <w:szCs w:val="20"/>
                  <w:lang w:val="es-ES_tradnl"/>
                </w:rPr>
                <m:t xml:space="preserve"> </m:t>
              </m:r>
              <m:r>
                <w:rPr>
                  <w:rFonts w:ascii="Cambria Math" w:hAnsi="Cambria Math" w:cs="Arial"/>
                  <w:sz w:val="20"/>
                  <w:szCs w:val="20"/>
                  <w:lang w:val="es-ES_tradnl"/>
                </w:rPr>
                <m:t>por</m:t>
              </m:r>
              <m:r>
                <w:rPr>
                  <w:rFonts w:ascii="Cambria Math" w:hAnsi="Cambria Math" w:cs="Arial"/>
                  <w:sz w:val="20"/>
                  <w:szCs w:val="20"/>
                  <w:lang w:val="es-ES_tradnl"/>
                </w:rPr>
                <m:t xml:space="preserve"> </m:t>
              </m:r>
              <m:r>
                <w:rPr>
                  <w:rFonts w:ascii="Cambria Math" w:hAnsi="Cambria Math" w:cs="Arial"/>
                  <w:sz w:val="20"/>
                  <w:szCs w:val="20"/>
                  <w:lang w:val="es-ES_tradnl"/>
                </w:rPr>
                <m:t>el</m:t>
              </m:r>
              <m:r>
                <w:rPr>
                  <w:rFonts w:ascii="Cambria Math" w:hAnsi="Cambria Math" w:cs="Arial"/>
                  <w:sz w:val="20"/>
                  <w:szCs w:val="20"/>
                  <w:lang w:val="es-ES_tradnl"/>
                </w:rPr>
                <m:t xml:space="preserve"> </m:t>
              </m:r>
              <m:r>
                <w:rPr>
                  <w:rFonts w:ascii="Cambria Math" w:hAnsi="Cambria Math" w:cs="Arial"/>
                  <w:sz w:val="20"/>
                  <w:szCs w:val="20"/>
                  <w:lang w:val="es-ES_tradnl"/>
                </w:rPr>
                <m:t>BR</m:t>
              </m:r>
              <m:r>
                <w:rPr>
                  <w:rFonts w:ascii="Cambria Math" w:hAnsi="Cambria Math" w:cs="Arial"/>
                  <w:sz w:val="20"/>
                  <w:szCs w:val="20"/>
                  <w:lang w:val="es-ES_tradnl"/>
                </w:rPr>
                <m:t xml:space="preserve"> </m:t>
              </m:r>
              <m:r>
                <w:rPr>
                  <w:rFonts w:ascii="Cambria Math" w:hAnsi="Cambria Math" w:cs="Arial"/>
                  <w:sz w:val="20"/>
                  <w:szCs w:val="20"/>
                  <w:lang w:val="es-ES_tradnl"/>
                </w:rPr>
                <m:t>para</m:t>
              </m:r>
              <m:r>
                <w:rPr>
                  <w:rFonts w:ascii="Cambria Math" w:hAnsi="Cambria Math" w:cs="Arial"/>
                  <w:sz w:val="20"/>
                  <w:szCs w:val="20"/>
                  <w:lang w:val="es-ES_tradnl"/>
                </w:rPr>
                <m:t xml:space="preserve"> </m:t>
              </m:r>
              <m:r>
                <w:rPr>
                  <w:rFonts w:ascii="Cambria Math" w:hAnsi="Cambria Math" w:cs="Arial"/>
                  <w:sz w:val="20"/>
                  <w:szCs w:val="20"/>
                  <w:lang w:val="es-ES_tradnl"/>
                </w:rPr>
                <m:t>acceder</m:t>
              </m:r>
              <m:r>
                <w:rPr>
                  <w:rFonts w:ascii="Cambria Math" w:hAnsi="Cambria Math" w:cs="Arial"/>
                  <w:sz w:val="20"/>
                  <w:szCs w:val="20"/>
                  <w:lang w:val="es-ES_tradnl"/>
                </w:rPr>
                <m:t xml:space="preserve"> </m:t>
              </m:r>
              <m:r>
                <w:rPr>
                  <w:rFonts w:ascii="Cambria Math" w:hAnsi="Cambria Math" w:cs="Arial"/>
                  <w:sz w:val="20"/>
                  <w:szCs w:val="20"/>
                  <w:lang w:val="es-ES_tradnl"/>
                </w:rPr>
                <m:t>a</m:t>
              </m:r>
              <m:r>
                <w:rPr>
                  <w:rFonts w:ascii="Cambria Math" w:hAnsi="Cambria Math" w:cs="Arial"/>
                  <w:sz w:val="20"/>
                  <w:szCs w:val="20"/>
                  <w:lang w:val="es-ES_tradnl"/>
                </w:rPr>
                <m:t xml:space="preserve"> </m:t>
              </m:r>
              <m:r>
                <w:rPr>
                  <w:rFonts w:ascii="Cambria Math" w:hAnsi="Cambria Math" w:cs="Arial"/>
                  <w:sz w:val="20"/>
                  <w:szCs w:val="20"/>
                  <w:lang w:val="es-ES_tradnl"/>
                </w:rPr>
                <m:t>ATL</m:t>
              </m:r>
            </m:den>
          </m:f>
        </m:oMath>
      </m:oMathPara>
    </w:p>
    <w:p w14:paraId="23441B9A" w14:textId="77777777" w:rsidR="00B96EC5" w:rsidRPr="00B96EC5" w:rsidRDefault="00B96EC5" w:rsidP="00671365">
      <w:pPr>
        <w:jc w:val="both"/>
        <w:rPr>
          <w:rFonts w:ascii="Verdana" w:hAnsi="Verdana"/>
          <w:bCs/>
          <w:sz w:val="20"/>
          <w:szCs w:val="20"/>
        </w:rPr>
      </w:pPr>
    </w:p>
    <w:p w14:paraId="3765051D" w14:textId="7B25737E" w:rsidR="00D953AE" w:rsidRPr="00671365" w:rsidRDefault="00D953AE" w:rsidP="00D953AE">
      <w:pPr>
        <w:spacing w:after="0"/>
        <w:jc w:val="both"/>
        <w:rPr>
          <w:rFonts w:ascii="Verdana" w:hAnsi="Verdana"/>
          <w:sz w:val="20"/>
          <w:szCs w:val="20"/>
        </w:rPr>
      </w:pPr>
      <w:r w:rsidRPr="00671365">
        <w:rPr>
          <w:rFonts w:ascii="Verdana" w:hAnsi="Verdana"/>
          <w:sz w:val="20"/>
          <w:szCs w:val="20"/>
        </w:rPr>
        <w:t>1.1.2.1</w:t>
      </w:r>
      <w:r>
        <w:rPr>
          <w:rFonts w:ascii="Verdana" w:hAnsi="Verdana"/>
          <w:sz w:val="20"/>
          <w:szCs w:val="20"/>
        </w:rPr>
        <w:t>90</w:t>
      </w:r>
      <w:r w:rsidRPr="00671365">
        <w:rPr>
          <w:rFonts w:ascii="Verdana" w:hAnsi="Verdana"/>
          <w:sz w:val="20"/>
          <w:szCs w:val="20"/>
        </w:rPr>
        <w:t>.</w:t>
      </w:r>
    </w:p>
    <w:p w14:paraId="648FD916" w14:textId="715D7F13" w:rsidR="00B96EC5" w:rsidRPr="005A2F13" w:rsidRDefault="005A2F13" w:rsidP="00D953AE">
      <w:pPr>
        <w:jc w:val="both"/>
        <w:rPr>
          <w:rFonts w:ascii="Verdana" w:hAnsi="Verdana"/>
          <w:sz w:val="20"/>
          <w:szCs w:val="20"/>
          <w:lang w:val="es-ES_tradnl"/>
        </w:rPr>
      </w:pPr>
      <w:r w:rsidRPr="005A2F13">
        <w:rPr>
          <w:rFonts w:ascii="Verdana" w:hAnsi="Verdana"/>
          <w:sz w:val="20"/>
          <w:szCs w:val="20"/>
        </w:rPr>
        <w:t xml:space="preserve">Dentro del cálculo del </w:t>
      </w:r>
      <w:r w:rsidR="00D2026B">
        <w:rPr>
          <w:rFonts w:ascii="Verdana" w:hAnsi="Verdana"/>
          <w:sz w:val="20"/>
          <w:szCs w:val="20"/>
        </w:rPr>
        <w:t>v</w:t>
      </w:r>
      <w:r w:rsidRPr="005A2F13">
        <w:rPr>
          <w:rFonts w:ascii="Verdana" w:hAnsi="Verdana"/>
          <w:sz w:val="20"/>
          <w:szCs w:val="20"/>
        </w:rPr>
        <w:t xml:space="preserve">alor de </w:t>
      </w:r>
      <w:r w:rsidR="00D2026B">
        <w:rPr>
          <w:rFonts w:ascii="Verdana" w:hAnsi="Verdana"/>
          <w:sz w:val="20"/>
          <w:szCs w:val="20"/>
        </w:rPr>
        <w:t>r</w:t>
      </w:r>
      <w:r w:rsidRPr="005A2F13">
        <w:rPr>
          <w:rFonts w:ascii="Verdana" w:hAnsi="Verdana"/>
          <w:sz w:val="20"/>
          <w:szCs w:val="20"/>
        </w:rPr>
        <w:t xml:space="preserve">ecibo se podrán considerar las inversiones clasificadas para mantener hasta el vencimiento admisibles para instrumentar apoyos transitorios de liquidez en los términos del </w:t>
      </w:r>
      <w:r w:rsidR="00AC64D7">
        <w:rPr>
          <w:rFonts w:ascii="Verdana" w:hAnsi="Verdana"/>
          <w:sz w:val="20"/>
          <w:szCs w:val="20"/>
        </w:rPr>
        <w:t xml:space="preserve">párrafo 3.4.1.16. de la </w:t>
      </w:r>
      <w:r w:rsidR="00F5486D">
        <w:rPr>
          <w:rFonts w:ascii="Verdana" w:hAnsi="Verdana"/>
          <w:sz w:val="20"/>
          <w:szCs w:val="20"/>
        </w:rPr>
        <w:t>CBF</w:t>
      </w:r>
      <w:r w:rsidRPr="005A2F13">
        <w:rPr>
          <w:rFonts w:ascii="Verdana" w:hAnsi="Verdana"/>
          <w:sz w:val="20"/>
          <w:szCs w:val="20"/>
        </w:rPr>
        <w:t>.</w:t>
      </w:r>
    </w:p>
    <w:p w14:paraId="24758033" w14:textId="4CE8703A" w:rsidR="005233BD" w:rsidRPr="00671365" w:rsidRDefault="005233BD" w:rsidP="005233BD">
      <w:pPr>
        <w:spacing w:after="0"/>
        <w:jc w:val="both"/>
        <w:rPr>
          <w:rFonts w:ascii="Verdana" w:hAnsi="Verdana"/>
          <w:sz w:val="20"/>
          <w:szCs w:val="20"/>
        </w:rPr>
      </w:pPr>
      <w:r w:rsidRPr="00671365">
        <w:rPr>
          <w:rFonts w:ascii="Verdana" w:hAnsi="Verdana"/>
          <w:sz w:val="20"/>
          <w:szCs w:val="20"/>
        </w:rPr>
        <w:t>1.1.2.1</w:t>
      </w:r>
      <w:r>
        <w:rPr>
          <w:rFonts w:ascii="Verdana" w:hAnsi="Verdana"/>
          <w:sz w:val="20"/>
          <w:szCs w:val="20"/>
        </w:rPr>
        <w:t>91</w:t>
      </w:r>
      <w:r w:rsidRPr="00671365">
        <w:rPr>
          <w:rFonts w:ascii="Verdana" w:hAnsi="Verdana"/>
          <w:sz w:val="20"/>
          <w:szCs w:val="20"/>
        </w:rPr>
        <w:t>.</w:t>
      </w:r>
    </w:p>
    <w:p w14:paraId="70A24D15" w14:textId="69E61FF9" w:rsidR="002348D3" w:rsidRDefault="006A43D1" w:rsidP="00671365">
      <w:pPr>
        <w:jc w:val="both"/>
        <w:rPr>
          <w:rFonts w:ascii="Verdana" w:hAnsi="Verdana"/>
          <w:sz w:val="20"/>
          <w:szCs w:val="20"/>
        </w:rPr>
      </w:pPr>
      <w:r w:rsidRPr="006A43D1">
        <w:rPr>
          <w:rFonts w:ascii="Verdana" w:hAnsi="Verdana"/>
          <w:sz w:val="20"/>
          <w:szCs w:val="20"/>
        </w:rPr>
        <w:t xml:space="preserve">Los EC deben asegurar que el promedio móvil trimestral de la </w:t>
      </w:r>
      <w:r w:rsidR="00064FC1">
        <w:rPr>
          <w:rFonts w:ascii="Verdana" w:hAnsi="Verdana"/>
          <w:sz w:val="20"/>
          <w:szCs w:val="20"/>
        </w:rPr>
        <w:t>r</w:t>
      </w:r>
      <w:r w:rsidRPr="006A43D1">
        <w:rPr>
          <w:rFonts w:ascii="Verdana" w:hAnsi="Verdana"/>
          <w:sz w:val="20"/>
          <w:szCs w:val="20"/>
        </w:rPr>
        <w:t xml:space="preserve">azón de </w:t>
      </w:r>
      <w:r w:rsidR="00064FC1">
        <w:rPr>
          <w:rFonts w:ascii="Verdana" w:hAnsi="Verdana"/>
          <w:sz w:val="20"/>
          <w:szCs w:val="20"/>
        </w:rPr>
        <w:t>c</w:t>
      </w:r>
      <w:r w:rsidRPr="006A43D1">
        <w:rPr>
          <w:rFonts w:ascii="Verdana" w:hAnsi="Verdana"/>
          <w:sz w:val="20"/>
          <w:szCs w:val="20"/>
        </w:rPr>
        <w:t>obertura sea igual o superior al 100%.</w:t>
      </w:r>
    </w:p>
    <w:p w14:paraId="3CFD8CF3" w14:textId="1C07784C" w:rsidR="00D85D7F" w:rsidRPr="00D85D7F" w:rsidRDefault="00DD3E29" w:rsidP="00D85D7F">
      <w:pPr>
        <w:pStyle w:val="Prrafodelista"/>
        <w:ind w:left="0"/>
        <w:jc w:val="both"/>
        <w:rPr>
          <w:rFonts w:ascii="Arial" w:hAnsi="Arial" w:cs="Arial"/>
          <w:bCs/>
          <w:sz w:val="20"/>
          <w:szCs w:val="20"/>
          <w:lang w:val="es-ES_tradnl"/>
        </w:rPr>
      </w:pPr>
      <m:oMathPara>
        <m:oMath>
          <m:d>
            <m:dPr>
              <m:begChr m:val="⌈"/>
              <m:endChr m:val="⌉"/>
              <m:ctrlPr>
                <w:rPr>
                  <w:rFonts w:ascii="Cambria Math" w:hAnsi="Cambria Math" w:cs="Arial"/>
                  <w:bCs/>
                  <w:i/>
                  <w:sz w:val="20"/>
                  <w:szCs w:val="20"/>
                  <w:lang w:val="es-ES_tradnl"/>
                </w:rPr>
              </m:ctrlPr>
            </m:dPr>
            <m:e>
              <m:f>
                <m:fPr>
                  <m:ctrlPr>
                    <w:rPr>
                      <w:rFonts w:ascii="Cambria Math" w:hAnsi="Cambria Math" w:cs="Arial"/>
                      <w:bCs/>
                      <w:i/>
                      <w:sz w:val="20"/>
                      <w:szCs w:val="20"/>
                      <w:lang w:val="es-ES_tradnl"/>
                    </w:rPr>
                  </m:ctrlPr>
                </m:fPr>
                <m:num>
                  <m:r>
                    <w:rPr>
                      <w:rFonts w:ascii="Cambria Math" w:hAnsi="Cambria Math" w:cs="Arial"/>
                      <w:sz w:val="20"/>
                      <w:szCs w:val="20"/>
                      <w:lang w:val="es-ES_tradnl"/>
                    </w:rPr>
                    <m:t>1</m:t>
                  </m:r>
                </m:num>
                <m:den>
                  <m:r>
                    <w:rPr>
                      <w:rFonts w:ascii="Cambria Math" w:hAnsi="Cambria Math" w:cs="Arial"/>
                      <w:sz w:val="20"/>
                      <w:szCs w:val="20"/>
                      <w:lang w:val="es-ES_tradnl"/>
                    </w:rPr>
                    <m:t>3</m:t>
                  </m:r>
                </m:den>
              </m:f>
              <m:nary>
                <m:naryPr>
                  <m:chr m:val="∑"/>
                  <m:limLoc m:val="undOvr"/>
                  <m:ctrlPr>
                    <w:rPr>
                      <w:rFonts w:ascii="Cambria Math" w:hAnsi="Cambria Math" w:cs="Arial"/>
                      <w:bCs/>
                      <w:i/>
                      <w:sz w:val="20"/>
                      <w:szCs w:val="20"/>
                      <w:lang w:val="es-ES_tradnl"/>
                    </w:rPr>
                  </m:ctrlPr>
                </m:naryPr>
                <m:sub>
                  <m:r>
                    <w:rPr>
                      <w:rFonts w:ascii="Cambria Math" w:hAnsi="Cambria Math" w:cs="Arial"/>
                      <w:sz w:val="20"/>
                      <w:szCs w:val="20"/>
                      <w:lang w:val="es-ES_tradnl"/>
                    </w:rPr>
                    <m:t>i</m:t>
                  </m:r>
                  <m:r>
                    <w:rPr>
                      <w:rFonts w:ascii="Cambria Math" w:hAnsi="Cambria Math" w:cs="Arial"/>
                      <w:sz w:val="20"/>
                      <w:szCs w:val="20"/>
                      <w:lang w:val="es-ES_tradnl"/>
                    </w:rPr>
                    <m:t>=</m:t>
                  </m:r>
                  <m:r>
                    <w:rPr>
                      <w:rFonts w:ascii="Cambria Math" w:hAnsi="Cambria Math" w:cs="Arial"/>
                      <w:sz w:val="20"/>
                      <w:szCs w:val="20"/>
                      <w:lang w:val="es-ES_tradnl"/>
                    </w:rPr>
                    <m:t>t</m:t>
                  </m:r>
                  <m:r>
                    <w:rPr>
                      <w:rFonts w:ascii="Cambria Math" w:hAnsi="Cambria Math" w:cs="Arial"/>
                      <w:sz w:val="20"/>
                      <w:szCs w:val="20"/>
                      <w:lang w:val="es-ES_tradnl"/>
                    </w:rPr>
                    <m:t>-</m:t>
                  </m:r>
                  <m:r>
                    <w:rPr>
                      <w:rFonts w:ascii="Cambria Math" w:hAnsi="Cambria Math" w:cs="Arial"/>
                      <w:sz w:val="20"/>
                      <w:szCs w:val="20"/>
                      <w:lang w:val="es-ES_tradnl"/>
                    </w:rPr>
                    <m:t>1</m:t>
                  </m:r>
                </m:sub>
                <m:sup>
                  <m:r>
                    <w:rPr>
                      <w:rFonts w:ascii="Cambria Math" w:hAnsi="Cambria Math" w:cs="Arial"/>
                      <w:sz w:val="20"/>
                      <w:szCs w:val="20"/>
                      <w:lang w:val="es-ES_tradnl"/>
                    </w:rPr>
                    <m:t>t</m:t>
                  </m:r>
                  <m:r>
                    <w:rPr>
                      <w:rFonts w:ascii="Cambria Math" w:hAnsi="Cambria Math" w:cs="Arial"/>
                      <w:sz w:val="20"/>
                      <w:szCs w:val="20"/>
                      <w:lang w:val="es-ES_tradnl"/>
                    </w:rPr>
                    <m:t>-</m:t>
                  </m:r>
                  <m:r>
                    <w:rPr>
                      <w:rFonts w:ascii="Cambria Math" w:hAnsi="Cambria Math" w:cs="Arial"/>
                      <w:sz w:val="20"/>
                      <w:szCs w:val="20"/>
                      <w:lang w:val="es-ES_tradnl"/>
                    </w:rPr>
                    <m:t>3</m:t>
                  </m:r>
                </m:sup>
                <m:e>
                  <m:sSub>
                    <m:sSubPr>
                      <m:ctrlPr>
                        <w:rPr>
                          <w:rFonts w:ascii="Cambria Math" w:hAnsi="Cambria Math" w:cs="Arial"/>
                          <w:bCs/>
                          <w:i/>
                          <w:sz w:val="20"/>
                          <w:szCs w:val="20"/>
                          <w:lang w:val="es-ES_tradnl"/>
                        </w:rPr>
                      </m:ctrlPr>
                    </m:sSubPr>
                    <m:e>
                      <m:r>
                        <w:rPr>
                          <w:rFonts w:ascii="Cambria Math" w:hAnsi="Cambria Math" w:cs="Arial"/>
                          <w:sz w:val="20"/>
                          <w:szCs w:val="20"/>
                          <w:lang w:val="es-ES_tradnl"/>
                        </w:rPr>
                        <m:t>Raz</m:t>
                      </m:r>
                      <m:r>
                        <w:rPr>
                          <w:rFonts w:ascii="Cambria Math" w:hAnsi="Cambria Math" w:cs="Arial"/>
                          <w:sz w:val="20"/>
                          <w:szCs w:val="20"/>
                          <w:lang w:val="es-ES_tradnl"/>
                        </w:rPr>
                        <m:t>ó</m:t>
                      </m:r>
                      <m:r>
                        <w:rPr>
                          <w:rFonts w:ascii="Cambria Math" w:hAnsi="Cambria Math" w:cs="Arial"/>
                          <w:sz w:val="20"/>
                          <w:szCs w:val="20"/>
                          <w:lang w:val="es-ES_tradnl"/>
                        </w:rPr>
                        <m:t>n</m:t>
                      </m:r>
                      <m:r>
                        <w:rPr>
                          <w:rFonts w:ascii="Cambria Math" w:hAnsi="Cambria Math" w:cs="Arial"/>
                          <w:sz w:val="20"/>
                          <w:szCs w:val="20"/>
                          <w:lang w:val="es-ES_tradnl"/>
                        </w:rPr>
                        <m:t xml:space="preserve"> </m:t>
                      </m:r>
                      <m:r>
                        <w:rPr>
                          <w:rFonts w:ascii="Cambria Math" w:hAnsi="Cambria Math" w:cs="Arial"/>
                          <w:sz w:val="20"/>
                          <w:szCs w:val="20"/>
                          <w:lang w:val="es-ES_tradnl"/>
                        </w:rPr>
                        <m:t>de</m:t>
                      </m:r>
                      <m:r>
                        <w:rPr>
                          <w:rFonts w:ascii="Cambria Math" w:hAnsi="Cambria Math" w:cs="Arial"/>
                          <w:sz w:val="20"/>
                          <w:szCs w:val="20"/>
                          <w:lang w:val="es-ES_tradnl"/>
                        </w:rPr>
                        <m:t xml:space="preserve"> </m:t>
                      </m:r>
                      <m:r>
                        <w:rPr>
                          <w:rFonts w:ascii="Cambria Math" w:hAnsi="Cambria Math" w:cs="Arial"/>
                          <w:sz w:val="20"/>
                          <w:szCs w:val="20"/>
                          <w:lang w:val="es-ES_tradnl"/>
                        </w:rPr>
                        <m:t>cobertura</m:t>
                      </m:r>
                    </m:e>
                    <m:sub>
                      <m:r>
                        <w:rPr>
                          <w:rFonts w:ascii="Cambria Math" w:hAnsi="Cambria Math" w:cs="Arial"/>
                          <w:sz w:val="20"/>
                          <w:szCs w:val="20"/>
                          <w:lang w:val="es-ES_tradnl"/>
                        </w:rPr>
                        <m:t>i</m:t>
                      </m:r>
                    </m:sub>
                  </m:sSub>
                </m:e>
              </m:nary>
            </m:e>
          </m:d>
          <m:r>
            <w:rPr>
              <w:rFonts w:ascii="Cambria Math" w:hAnsi="Cambria Math" w:cs="Arial"/>
              <w:sz w:val="20"/>
              <w:szCs w:val="20"/>
              <w:lang w:val="es-ES_tradnl"/>
            </w:rPr>
            <m:t>≥100%</m:t>
          </m:r>
        </m:oMath>
      </m:oMathPara>
    </w:p>
    <w:p w14:paraId="7990A457" w14:textId="5164AE8E" w:rsidR="00D85D7F" w:rsidRDefault="00BC73EB" w:rsidP="00671365">
      <w:pPr>
        <w:jc w:val="both"/>
        <w:rPr>
          <w:rFonts w:ascii="Verdana" w:hAnsi="Verdana"/>
          <w:sz w:val="20"/>
          <w:szCs w:val="20"/>
          <w:lang w:val="es-ES_tradnl"/>
        </w:rPr>
      </w:pPr>
      <w:r>
        <w:rPr>
          <w:rFonts w:ascii="Verdana" w:hAnsi="Verdana"/>
          <w:sz w:val="20"/>
          <w:szCs w:val="20"/>
          <w:lang w:val="es-ES_tradnl"/>
        </w:rPr>
        <w:t xml:space="preserve">Donde: </w:t>
      </w:r>
    </w:p>
    <w:p w14:paraId="1605A11C" w14:textId="5A7BCDC4" w:rsidR="00BC73EB" w:rsidRPr="006A43D1" w:rsidRDefault="00806B92" w:rsidP="00671365">
      <w:pPr>
        <w:jc w:val="both"/>
        <w:rPr>
          <w:rFonts w:ascii="Verdana" w:hAnsi="Verdana"/>
          <w:sz w:val="20"/>
          <w:szCs w:val="20"/>
          <w:lang w:val="es-ES_tradnl"/>
        </w:rPr>
      </w:pPr>
      <m:oMath>
        <m:r>
          <w:rPr>
            <w:rFonts w:ascii="Cambria Math" w:hAnsi="Cambria Math" w:cs="Arial"/>
            <w:sz w:val="18"/>
            <w:lang w:val="es-ES_tradnl"/>
          </w:rPr>
          <m:t>t-1</m:t>
        </m:r>
      </m:oMath>
      <w:r w:rsidR="006842E5" w:rsidRPr="00806B92">
        <w:rPr>
          <w:rFonts w:ascii="Verdana" w:eastAsiaTheme="minorEastAsia" w:hAnsi="Verdana"/>
          <w:bCs/>
          <w:sz w:val="18"/>
          <w:lang w:val="es-ES_tradnl"/>
        </w:rPr>
        <w:t xml:space="preserve">: </w:t>
      </w:r>
      <w:r w:rsidR="00CD3836" w:rsidRPr="00806B92">
        <w:rPr>
          <w:rFonts w:ascii="Verdana" w:eastAsiaTheme="minorEastAsia" w:hAnsi="Verdana"/>
          <w:bCs/>
          <w:sz w:val="20"/>
          <w:szCs w:val="20"/>
          <w:lang w:val="es-ES_tradnl"/>
        </w:rPr>
        <w:t>cierre de mes</w:t>
      </w:r>
      <w:r w:rsidR="00686FB2" w:rsidRPr="00806B92">
        <w:rPr>
          <w:rFonts w:ascii="Verdana" w:eastAsiaTheme="minorEastAsia" w:hAnsi="Verdana"/>
          <w:bCs/>
          <w:sz w:val="20"/>
          <w:szCs w:val="20"/>
          <w:lang w:val="es-ES_tradnl"/>
        </w:rPr>
        <w:t xml:space="preserve"> inmediatamente </w:t>
      </w:r>
      <w:r w:rsidRPr="00806B92">
        <w:rPr>
          <w:rFonts w:ascii="Verdana" w:eastAsiaTheme="minorEastAsia" w:hAnsi="Verdana"/>
          <w:bCs/>
          <w:sz w:val="20"/>
          <w:szCs w:val="20"/>
          <w:lang w:val="es-ES_tradnl"/>
        </w:rPr>
        <w:t>anterior al mes actual.</w:t>
      </w:r>
    </w:p>
    <w:p w14:paraId="0B505D28" w14:textId="37331877" w:rsidR="00901D42" w:rsidRPr="00671365" w:rsidRDefault="00901D42" w:rsidP="00901D42">
      <w:pPr>
        <w:spacing w:after="0"/>
        <w:jc w:val="both"/>
        <w:rPr>
          <w:rFonts w:ascii="Verdana" w:hAnsi="Verdana"/>
          <w:sz w:val="20"/>
          <w:szCs w:val="20"/>
        </w:rPr>
      </w:pPr>
      <w:r w:rsidRPr="00671365">
        <w:rPr>
          <w:rFonts w:ascii="Verdana" w:hAnsi="Verdana"/>
          <w:sz w:val="20"/>
          <w:szCs w:val="20"/>
        </w:rPr>
        <w:t>1.1.2.1</w:t>
      </w:r>
      <w:r>
        <w:rPr>
          <w:rFonts w:ascii="Verdana" w:hAnsi="Verdana"/>
          <w:sz w:val="20"/>
          <w:szCs w:val="20"/>
        </w:rPr>
        <w:t>92</w:t>
      </w:r>
      <w:r w:rsidRPr="00671365">
        <w:rPr>
          <w:rFonts w:ascii="Verdana" w:hAnsi="Verdana"/>
          <w:sz w:val="20"/>
          <w:szCs w:val="20"/>
        </w:rPr>
        <w:t>.</w:t>
      </w:r>
    </w:p>
    <w:p w14:paraId="559E2C55" w14:textId="1788D997" w:rsidR="002348D3" w:rsidRPr="00172318" w:rsidRDefault="00901D42" w:rsidP="002348D3">
      <w:pPr>
        <w:jc w:val="both"/>
        <w:rPr>
          <w:rFonts w:ascii="Verdana" w:hAnsi="Verdana"/>
          <w:sz w:val="20"/>
          <w:szCs w:val="20"/>
          <w:lang w:val="es-ES_tradnl"/>
        </w:rPr>
      </w:pPr>
      <w:r w:rsidRPr="006A43D1">
        <w:rPr>
          <w:rFonts w:ascii="Verdana" w:hAnsi="Verdana"/>
          <w:sz w:val="20"/>
          <w:szCs w:val="20"/>
        </w:rPr>
        <w:t>Los</w:t>
      </w:r>
      <w:r w:rsidR="00EE6EB8" w:rsidRPr="00EE6EB8">
        <w:t xml:space="preserve"> </w:t>
      </w:r>
      <w:r w:rsidR="00EE6EB8" w:rsidRPr="00EE6EB8">
        <w:rPr>
          <w:rFonts w:ascii="Verdana" w:hAnsi="Verdana"/>
          <w:sz w:val="20"/>
          <w:szCs w:val="20"/>
        </w:rPr>
        <w:t>EC que no cuenten con cartera ni inversiones clasificadas para mantener hasta el vencimiento, que, de acuerdo con lo indicado previamente no les permita cumplir con la razón de cobertura, deberán desmaterializar o inmaterializar como mínimo pagarés cuyo valor de recibo en el promedio móvil trimestral sea igual o superior al 95% del valor de recibo de la totalidad de su cartera e inversiones clasificadas para mantener hasta el vencimiento admisibles para acceder a apoyos transitorios de liquidez.</w:t>
      </w:r>
    </w:p>
    <w:p w14:paraId="2D15B4A5" w14:textId="4DB26816" w:rsidR="00087208" w:rsidRPr="0086035E" w:rsidRDefault="00087208" w:rsidP="00087208">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172318">
        <w:rPr>
          <w:rFonts w:ascii="Verdana" w:hAnsi="Verdana"/>
          <w:sz w:val="20"/>
          <w:szCs w:val="20"/>
        </w:rPr>
        <w:t>93</w:t>
      </w:r>
      <w:r w:rsidRPr="0086035E">
        <w:rPr>
          <w:rFonts w:ascii="Verdana" w:hAnsi="Verdana"/>
          <w:sz w:val="20"/>
          <w:szCs w:val="20"/>
        </w:rPr>
        <w:t>.</w:t>
      </w:r>
    </w:p>
    <w:p w14:paraId="34BFD83D" w14:textId="0338B711" w:rsidR="00087208" w:rsidRPr="00007259" w:rsidRDefault="002519D5" w:rsidP="00087208">
      <w:pPr>
        <w:jc w:val="both"/>
        <w:rPr>
          <w:rFonts w:ascii="Verdana" w:hAnsi="Verdana"/>
          <w:sz w:val="20"/>
          <w:szCs w:val="20"/>
        </w:rPr>
      </w:pPr>
      <w:r w:rsidRPr="002519D5">
        <w:rPr>
          <w:rFonts w:ascii="Verdana" w:hAnsi="Verdana"/>
          <w:sz w:val="20"/>
          <w:szCs w:val="20"/>
        </w:rPr>
        <w:t>El cálculo de los pasivos para con el público a efectos de establecer el cupo o monto máximo se hará con base en la cuenta del pasivo del Catálogo Único de Información Financiera (CUIF) con fines de supervisión de los EC y en las disposiciones que el Banco de la República señale mediante reglamentación de carácter general. Los pagarés desmaterializados o inmaterializados deben cumplir con los requisitos de admisibilidad que establezca el Banco de la República mediante reglamentación de carácter general, para el acceso a apoyos transitorios de liquidez.</w:t>
      </w:r>
      <w:r w:rsidR="00087208" w:rsidRPr="00027ABD">
        <w:rPr>
          <w:rFonts w:ascii="Verdana" w:hAnsi="Verdana"/>
          <w:sz w:val="20"/>
          <w:szCs w:val="20"/>
        </w:rPr>
        <w:t xml:space="preserve"> </w:t>
      </w:r>
    </w:p>
    <w:p w14:paraId="3ED75BC6" w14:textId="680B19C1" w:rsidR="00087208" w:rsidRPr="0086035E" w:rsidRDefault="00087208" w:rsidP="00087208">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172318">
        <w:rPr>
          <w:rFonts w:ascii="Verdana" w:hAnsi="Verdana"/>
          <w:sz w:val="20"/>
          <w:szCs w:val="20"/>
        </w:rPr>
        <w:t>94</w:t>
      </w:r>
      <w:r w:rsidRPr="0086035E">
        <w:rPr>
          <w:rFonts w:ascii="Verdana" w:hAnsi="Verdana"/>
          <w:sz w:val="20"/>
          <w:szCs w:val="20"/>
        </w:rPr>
        <w:t>.</w:t>
      </w:r>
    </w:p>
    <w:p w14:paraId="66E89CEF" w14:textId="1BAA3AD9" w:rsidR="00087208" w:rsidRPr="00007259" w:rsidRDefault="00A56DB8" w:rsidP="00087208">
      <w:pPr>
        <w:jc w:val="both"/>
        <w:rPr>
          <w:rFonts w:ascii="Verdana" w:hAnsi="Verdana"/>
          <w:sz w:val="20"/>
          <w:szCs w:val="20"/>
        </w:rPr>
      </w:pPr>
      <w:r w:rsidRPr="00A56DB8">
        <w:rPr>
          <w:rFonts w:ascii="Verdana" w:hAnsi="Verdana"/>
          <w:sz w:val="20"/>
          <w:szCs w:val="20"/>
        </w:rPr>
        <w:t xml:space="preserve">Los EC deben realizar al menos una vez al semestre una evaluación de riesgos para determinar la necesidad de contar con pagarés desmaterializados o inmaterializados por encima del mínimo establecido en </w:t>
      </w:r>
      <w:r w:rsidR="0032246E">
        <w:rPr>
          <w:rFonts w:ascii="Verdana" w:hAnsi="Verdana"/>
          <w:sz w:val="20"/>
          <w:szCs w:val="20"/>
        </w:rPr>
        <w:t xml:space="preserve">la presente </w:t>
      </w:r>
      <w:r w:rsidR="00C24735">
        <w:rPr>
          <w:rFonts w:ascii="Verdana" w:hAnsi="Verdana"/>
          <w:sz w:val="20"/>
          <w:szCs w:val="20"/>
        </w:rPr>
        <w:t>instrucción</w:t>
      </w:r>
      <w:r w:rsidRPr="00A56DB8" w:rsidDel="0032246E">
        <w:rPr>
          <w:rFonts w:ascii="Verdana" w:hAnsi="Verdana"/>
          <w:sz w:val="20"/>
          <w:szCs w:val="20"/>
        </w:rPr>
        <w:t xml:space="preserve"> </w:t>
      </w:r>
      <w:r w:rsidRPr="00A56DB8">
        <w:rPr>
          <w:rFonts w:ascii="Verdana" w:hAnsi="Verdana"/>
          <w:sz w:val="20"/>
          <w:szCs w:val="20"/>
        </w:rPr>
        <w:t xml:space="preserve">dentro de sus planes de contingencia. Los EC deben mantener los resultados de la evaluación a disposición de la SFC. De manera excepcional y previa solicitud justificada, la SFC podrá autorizar a los establecimientos de crédito la presentación de un plan de ajuste para cumplir con el porcentaje mínimo exigido de desmaterialización o </w:t>
      </w:r>
      <w:proofErr w:type="spellStart"/>
      <w:r w:rsidRPr="00A56DB8">
        <w:rPr>
          <w:rFonts w:ascii="Verdana" w:hAnsi="Verdana"/>
          <w:sz w:val="20"/>
          <w:szCs w:val="20"/>
        </w:rPr>
        <w:t>inmaterialización</w:t>
      </w:r>
      <w:proofErr w:type="spellEnd"/>
      <w:r w:rsidRPr="00A56DB8">
        <w:rPr>
          <w:rFonts w:ascii="Verdana" w:hAnsi="Verdana"/>
          <w:sz w:val="20"/>
          <w:szCs w:val="20"/>
        </w:rPr>
        <w:t>. El cronograma de ejecución del respectivo plan tendrá un plazo máximo de hasta seis meses.</w:t>
      </w:r>
      <w:r w:rsidR="00087208" w:rsidRPr="00A52B86">
        <w:rPr>
          <w:rFonts w:ascii="Verdana" w:hAnsi="Verdana"/>
          <w:sz w:val="20"/>
          <w:szCs w:val="20"/>
        </w:rPr>
        <w:t xml:space="preserve"> </w:t>
      </w:r>
    </w:p>
    <w:p w14:paraId="04D96D25" w14:textId="6FDB6E91" w:rsidR="00087208" w:rsidRPr="0086035E" w:rsidRDefault="00087208" w:rsidP="00087208">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.1</w:t>
      </w:r>
      <w:r w:rsidR="00172318">
        <w:rPr>
          <w:rFonts w:ascii="Verdana" w:hAnsi="Verdana"/>
          <w:sz w:val="20"/>
          <w:szCs w:val="20"/>
        </w:rPr>
        <w:t>95</w:t>
      </w:r>
      <w:r w:rsidRPr="0086035E">
        <w:rPr>
          <w:rFonts w:ascii="Verdana" w:hAnsi="Verdana"/>
          <w:sz w:val="20"/>
          <w:szCs w:val="20"/>
        </w:rPr>
        <w:t>.</w:t>
      </w:r>
    </w:p>
    <w:p w14:paraId="243CE2A2" w14:textId="44B11072" w:rsidR="00D60154" w:rsidRDefault="003D4921" w:rsidP="00087208">
      <w:pPr>
        <w:jc w:val="both"/>
        <w:rPr>
          <w:rFonts w:ascii="Verdana" w:hAnsi="Verdana"/>
          <w:sz w:val="20"/>
          <w:szCs w:val="20"/>
        </w:rPr>
      </w:pPr>
      <w:r w:rsidRPr="003D4921">
        <w:rPr>
          <w:rFonts w:ascii="Verdana" w:hAnsi="Verdana"/>
          <w:sz w:val="20"/>
          <w:szCs w:val="20"/>
        </w:rPr>
        <w:t>Los EC deben mantener actualizados sus procesos con el fin de cumplir con los requerimientos definidos por el Banco de la República para el acceso a los apoyos transitorios de liquidez.</w:t>
      </w:r>
      <w:r w:rsidR="00087208" w:rsidRPr="00AB0893">
        <w:rPr>
          <w:rFonts w:ascii="Verdana" w:hAnsi="Verdana"/>
          <w:sz w:val="20"/>
          <w:szCs w:val="20"/>
        </w:rPr>
        <w:t xml:space="preserve"> </w:t>
      </w:r>
    </w:p>
    <w:p w14:paraId="57D0B1EA" w14:textId="77777777" w:rsidR="00D60154" w:rsidRDefault="00D60154">
      <w:pPr>
        <w:rPr>
          <w:rFonts w:ascii="Verdana" w:hAnsi="Verdana"/>
          <w:sz w:val="20"/>
          <w:szCs w:val="20"/>
        </w:rPr>
      </w:pPr>
      <w:r>
        <w:rPr>
          <w:rFonts w:ascii="Verdana" w:hAnsi="Verdana"/>
          <w:sz w:val="20"/>
          <w:szCs w:val="20"/>
        </w:rPr>
        <w:br w:type="page"/>
      </w:r>
    </w:p>
    <w:p w14:paraId="2F77135F" w14:textId="02542333" w:rsidR="00D60154" w:rsidRDefault="00D60154" w:rsidP="00D60154">
      <w:pPr>
        <w:spacing w:after="0"/>
        <w:jc w:val="both"/>
        <w:rPr>
          <w:rFonts w:ascii="Verdana" w:hAnsi="Verdana"/>
          <w:b/>
          <w:bCs/>
          <w:sz w:val="20"/>
          <w:szCs w:val="20"/>
        </w:rPr>
      </w:pPr>
      <w:r>
        <w:rPr>
          <w:rFonts w:ascii="Verdana" w:hAnsi="Verdana"/>
          <w:b/>
          <w:bCs/>
          <w:sz w:val="20"/>
          <w:szCs w:val="20"/>
        </w:rPr>
        <w:lastRenderedPageBreak/>
        <w:t xml:space="preserve">GESTIÓN DEL </w:t>
      </w:r>
      <w:r w:rsidRPr="00A810C8">
        <w:rPr>
          <w:rFonts w:ascii="Verdana" w:hAnsi="Verdana"/>
          <w:b/>
          <w:bCs/>
          <w:sz w:val="20"/>
          <w:szCs w:val="20"/>
        </w:rPr>
        <w:t xml:space="preserve">RIESGO </w:t>
      </w:r>
      <w:r w:rsidR="00BE45DB" w:rsidRPr="00BE45DB">
        <w:rPr>
          <w:rFonts w:ascii="Verdana" w:hAnsi="Verdana"/>
          <w:b/>
          <w:bCs/>
          <w:sz w:val="20"/>
          <w:szCs w:val="20"/>
        </w:rPr>
        <w:t>PAÍS</w:t>
      </w:r>
    </w:p>
    <w:p w14:paraId="062EFBDB" w14:textId="77777777" w:rsidR="00D60154" w:rsidRDefault="00D60154" w:rsidP="00D60154">
      <w:pPr>
        <w:spacing w:after="0"/>
        <w:jc w:val="both"/>
        <w:rPr>
          <w:rFonts w:ascii="Verdana" w:hAnsi="Verdana"/>
          <w:sz w:val="20"/>
          <w:szCs w:val="20"/>
        </w:rPr>
      </w:pPr>
    </w:p>
    <w:p w14:paraId="5380B9F4" w14:textId="3BBBD386" w:rsidR="00D60154" w:rsidRPr="007735FE" w:rsidRDefault="00D60154" w:rsidP="00D60154">
      <w:pPr>
        <w:jc w:val="both"/>
        <w:rPr>
          <w:rFonts w:ascii="Verdana" w:hAnsi="Verdana"/>
          <w:b/>
          <w:bCs/>
          <w:sz w:val="20"/>
          <w:szCs w:val="20"/>
        </w:rPr>
      </w:pPr>
      <w:r>
        <w:rPr>
          <w:rFonts w:ascii="Verdana" w:hAnsi="Verdana"/>
          <w:b/>
          <w:bCs/>
          <w:sz w:val="20"/>
          <w:szCs w:val="20"/>
        </w:rPr>
        <w:t xml:space="preserve">Definición de riesgo </w:t>
      </w:r>
      <w:r w:rsidR="00FB294D" w:rsidRPr="00FB294D">
        <w:rPr>
          <w:rFonts w:ascii="Verdana" w:hAnsi="Verdana"/>
          <w:b/>
          <w:bCs/>
          <w:sz w:val="20"/>
          <w:szCs w:val="20"/>
        </w:rPr>
        <w:t>país</w:t>
      </w:r>
    </w:p>
    <w:p w14:paraId="0C6AA4BA" w14:textId="3CFD37F8" w:rsidR="00D60154" w:rsidRPr="000001A2" w:rsidRDefault="00D60154" w:rsidP="00D60154">
      <w:pPr>
        <w:spacing w:after="0"/>
        <w:jc w:val="both"/>
        <w:rPr>
          <w:rFonts w:ascii="Verdana" w:hAnsi="Verdana"/>
          <w:sz w:val="20"/>
          <w:szCs w:val="20"/>
        </w:rPr>
      </w:pPr>
      <w:r>
        <w:rPr>
          <w:rFonts w:ascii="Verdana" w:hAnsi="Verdana"/>
          <w:sz w:val="20"/>
          <w:szCs w:val="20"/>
        </w:rPr>
        <w:t>1.1.2.</w:t>
      </w:r>
      <w:r w:rsidR="008743CF">
        <w:rPr>
          <w:rFonts w:ascii="Verdana" w:hAnsi="Verdana"/>
          <w:sz w:val="20"/>
          <w:szCs w:val="20"/>
        </w:rPr>
        <w:t>196</w:t>
      </w:r>
      <w:r>
        <w:rPr>
          <w:rFonts w:ascii="Verdana" w:hAnsi="Verdana"/>
          <w:sz w:val="20"/>
          <w:szCs w:val="20"/>
        </w:rPr>
        <w:t>.</w:t>
      </w:r>
    </w:p>
    <w:p w14:paraId="723E3A4D" w14:textId="6D7C1CC3" w:rsidR="00D60154" w:rsidRDefault="00C202BE" w:rsidP="00D60154">
      <w:pPr>
        <w:jc w:val="both"/>
        <w:rPr>
          <w:rFonts w:ascii="Verdana" w:hAnsi="Verdana"/>
          <w:sz w:val="20"/>
          <w:szCs w:val="20"/>
        </w:rPr>
      </w:pPr>
      <w:r w:rsidRPr="00C202BE">
        <w:rPr>
          <w:rFonts w:ascii="Verdana" w:hAnsi="Verdana"/>
          <w:sz w:val="20"/>
          <w:szCs w:val="20"/>
        </w:rPr>
        <w:t>Es la posibilidad de que una entidad incurra en pérdidas en virtud de las operaciones financieras en el exterior por causa de un detrimento de las condiciones económicas y/o sociopolíticas del país receptor de dichas operaciones, bien sea por limitaciones a las transferencias de divisas o por factores no imputables a la condición comercial y financiera del país receptor de la operación. Esta definición incluye, entre otros, Riesgo Soberano (RS) y Riesgo de Transferencia (RT), asociados a tales factores.</w:t>
      </w:r>
    </w:p>
    <w:p w14:paraId="0D74F376" w14:textId="7F27F5BC" w:rsidR="004B66ED" w:rsidRPr="000001A2" w:rsidRDefault="004B66ED" w:rsidP="004B66ED">
      <w:pPr>
        <w:spacing w:after="0"/>
        <w:jc w:val="both"/>
        <w:rPr>
          <w:rFonts w:ascii="Verdana" w:hAnsi="Verdana"/>
          <w:sz w:val="20"/>
          <w:szCs w:val="20"/>
        </w:rPr>
      </w:pPr>
      <w:r>
        <w:rPr>
          <w:rFonts w:ascii="Verdana" w:hAnsi="Verdana"/>
          <w:sz w:val="20"/>
          <w:szCs w:val="20"/>
        </w:rPr>
        <w:t>1.1.2.197.</w:t>
      </w:r>
    </w:p>
    <w:p w14:paraId="5AACA3A6" w14:textId="79CF4DB5" w:rsidR="004B66ED" w:rsidRPr="000209E8" w:rsidRDefault="00C202BE" w:rsidP="004B66ED">
      <w:pPr>
        <w:jc w:val="both"/>
        <w:rPr>
          <w:rFonts w:ascii="Verdana" w:hAnsi="Verdana"/>
          <w:sz w:val="20"/>
          <w:szCs w:val="20"/>
        </w:rPr>
      </w:pPr>
      <w:r w:rsidRPr="00C202BE">
        <w:rPr>
          <w:rFonts w:ascii="Verdana" w:hAnsi="Verdana"/>
          <w:sz w:val="20"/>
          <w:szCs w:val="20"/>
        </w:rPr>
        <w:t xml:space="preserve">Riesgo soberano (RS): </w:t>
      </w:r>
      <w:r w:rsidR="00816306">
        <w:rPr>
          <w:rFonts w:ascii="Verdana" w:hAnsi="Verdana"/>
          <w:sz w:val="20"/>
          <w:szCs w:val="20"/>
        </w:rPr>
        <w:t>e</w:t>
      </w:r>
      <w:r w:rsidRPr="00C202BE">
        <w:rPr>
          <w:rFonts w:ascii="Verdana" w:hAnsi="Verdana"/>
          <w:sz w:val="20"/>
          <w:szCs w:val="20"/>
        </w:rPr>
        <w:t>s la probabilidad de que la entidad incurra en pérdidas en sus operaciones financieras en el exterior, causadas por el incumplimiento de las obligaciones financieras a cargo de un Estado o de las obligaciones garantizadas por éste.</w:t>
      </w:r>
    </w:p>
    <w:p w14:paraId="2C0EF079" w14:textId="3C9B3B70" w:rsidR="004B66ED" w:rsidRPr="000001A2" w:rsidRDefault="004B66ED" w:rsidP="004B66ED">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.1.2.198.</w:t>
      </w:r>
    </w:p>
    <w:p w14:paraId="542C0B47" w14:textId="0C9FC759" w:rsidR="004B66ED" w:rsidRPr="000209E8" w:rsidRDefault="004A3BBA" w:rsidP="004B66ED">
      <w:pPr>
        <w:jc w:val="both"/>
        <w:rPr>
          <w:rFonts w:ascii="Verdana" w:hAnsi="Verdana"/>
          <w:sz w:val="20"/>
          <w:szCs w:val="20"/>
        </w:rPr>
      </w:pPr>
      <w:r w:rsidRPr="004A3BBA">
        <w:rPr>
          <w:rFonts w:ascii="Verdana" w:hAnsi="Verdana"/>
          <w:sz w:val="20"/>
          <w:szCs w:val="20"/>
        </w:rPr>
        <w:t xml:space="preserve">Riesgo de transferencia (RT): </w:t>
      </w:r>
      <w:r w:rsidR="00816306">
        <w:rPr>
          <w:rFonts w:ascii="Verdana" w:hAnsi="Verdana"/>
          <w:sz w:val="20"/>
          <w:szCs w:val="20"/>
        </w:rPr>
        <w:t>e</w:t>
      </w:r>
      <w:r w:rsidRPr="004A3BBA">
        <w:rPr>
          <w:rFonts w:ascii="Verdana" w:hAnsi="Verdana"/>
          <w:sz w:val="20"/>
          <w:szCs w:val="20"/>
        </w:rPr>
        <w:t>s la probabilidad de que la entidad incurra en pérdidas por el incumplimiento por parte de un deudor o agente económico domiciliado en el exterior, como consecuencia de la imposibilidad de disponer de divisas para servir la deuda, remitir las utilidades o el valor de la inversión.</w:t>
      </w:r>
    </w:p>
    <w:p w14:paraId="38B97AE9" w14:textId="58B7843C" w:rsidR="004B66ED" w:rsidRPr="000001A2" w:rsidRDefault="004B66ED" w:rsidP="004B66ED">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.1.2.199.</w:t>
      </w:r>
    </w:p>
    <w:p w14:paraId="637BBB73" w14:textId="75325D9A" w:rsidR="00C202BE" w:rsidRDefault="004A3BBA" w:rsidP="00D60154">
      <w:pPr>
        <w:jc w:val="both"/>
        <w:rPr>
          <w:rFonts w:ascii="Verdana" w:hAnsi="Verdana"/>
          <w:sz w:val="20"/>
          <w:szCs w:val="20"/>
        </w:rPr>
      </w:pPr>
      <w:r w:rsidRPr="004A3BBA">
        <w:rPr>
          <w:rFonts w:ascii="Verdana" w:hAnsi="Verdana"/>
          <w:sz w:val="20"/>
          <w:szCs w:val="20"/>
        </w:rPr>
        <w:t>Para efectos del presente numeral y de</w:t>
      </w:r>
      <w:r w:rsidR="00923355">
        <w:rPr>
          <w:rFonts w:ascii="Verdana" w:hAnsi="Verdana"/>
          <w:sz w:val="20"/>
          <w:szCs w:val="20"/>
        </w:rPr>
        <w:t xml:space="preserve"> la</w:t>
      </w:r>
      <w:r w:rsidR="00687A1F">
        <w:rPr>
          <w:rFonts w:ascii="Verdana" w:hAnsi="Verdana"/>
          <w:sz w:val="20"/>
          <w:szCs w:val="20"/>
        </w:rPr>
        <w:t xml:space="preserve">s instrucciones </w:t>
      </w:r>
      <w:r w:rsidR="00097930">
        <w:rPr>
          <w:rFonts w:ascii="Verdana" w:hAnsi="Verdana"/>
          <w:sz w:val="20"/>
          <w:szCs w:val="20"/>
        </w:rPr>
        <w:t xml:space="preserve">relacionadas con la medición del riesgo país </w:t>
      </w:r>
      <w:r w:rsidR="00687A1F">
        <w:rPr>
          <w:rFonts w:ascii="Verdana" w:hAnsi="Verdana"/>
          <w:sz w:val="20"/>
          <w:szCs w:val="20"/>
        </w:rPr>
        <w:t>de la</w:t>
      </w:r>
      <w:r w:rsidR="00923355">
        <w:rPr>
          <w:rFonts w:ascii="Verdana" w:hAnsi="Verdana"/>
          <w:sz w:val="20"/>
          <w:szCs w:val="20"/>
        </w:rPr>
        <w:t xml:space="preserve"> sección 3 del presente capítulo</w:t>
      </w:r>
      <w:r w:rsidR="00687A1F">
        <w:rPr>
          <w:rFonts w:ascii="Verdana" w:hAnsi="Verdana"/>
          <w:sz w:val="20"/>
          <w:szCs w:val="20"/>
        </w:rPr>
        <w:t xml:space="preserve">, </w:t>
      </w:r>
      <w:r w:rsidRPr="004A3BBA">
        <w:rPr>
          <w:rFonts w:ascii="Verdana" w:hAnsi="Verdana"/>
          <w:sz w:val="20"/>
          <w:szCs w:val="20"/>
        </w:rPr>
        <w:t>se entiende por operación financiera las inversiones de capital realizadas por las entidades vigiladas en el exterior de forma directa e indirecta.</w:t>
      </w:r>
    </w:p>
    <w:p w14:paraId="584F87CB" w14:textId="77777777" w:rsidR="00D60154" w:rsidRPr="007735FE" w:rsidRDefault="00D60154" w:rsidP="00D60154">
      <w:pPr>
        <w:jc w:val="both"/>
        <w:rPr>
          <w:rFonts w:ascii="Verdana" w:hAnsi="Verdana"/>
          <w:b/>
          <w:bCs/>
          <w:sz w:val="20"/>
          <w:szCs w:val="20"/>
        </w:rPr>
      </w:pPr>
      <w:r>
        <w:rPr>
          <w:rFonts w:ascii="Verdana" w:hAnsi="Verdana"/>
          <w:b/>
          <w:bCs/>
          <w:sz w:val="20"/>
          <w:szCs w:val="20"/>
        </w:rPr>
        <w:t>Ámbito de aplicación</w:t>
      </w:r>
    </w:p>
    <w:p w14:paraId="7E195F45" w14:textId="07EF97DD" w:rsidR="00D60154" w:rsidRPr="000001A2" w:rsidRDefault="00D60154" w:rsidP="00D60154">
      <w:pPr>
        <w:spacing w:after="0"/>
        <w:jc w:val="both"/>
        <w:rPr>
          <w:rFonts w:ascii="Verdana" w:hAnsi="Verdana"/>
          <w:sz w:val="20"/>
          <w:szCs w:val="20"/>
        </w:rPr>
      </w:pPr>
      <w:r>
        <w:rPr>
          <w:rFonts w:ascii="Verdana" w:hAnsi="Verdana"/>
          <w:sz w:val="20"/>
          <w:szCs w:val="20"/>
        </w:rPr>
        <w:t>1.1.2.</w:t>
      </w:r>
      <w:r w:rsidR="00AB4DDD">
        <w:rPr>
          <w:rFonts w:ascii="Verdana" w:hAnsi="Verdana"/>
          <w:sz w:val="20"/>
          <w:szCs w:val="20"/>
        </w:rPr>
        <w:t>200</w:t>
      </w:r>
      <w:r>
        <w:rPr>
          <w:rFonts w:ascii="Verdana" w:hAnsi="Verdana"/>
          <w:sz w:val="20"/>
          <w:szCs w:val="20"/>
        </w:rPr>
        <w:t>.</w:t>
      </w:r>
    </w:p>
    <w:p w14:paraId="2E68C2D1" w14:textId="19F5B989" w:rsidR="00D60154" w:rsidRPr="000209E8" w:rsidRDefault="00FE46C0" w:rsidP="00D60154">
      <w:pPr>
        <w:jc w:val="both"/>
        <w:rPr>
          <w:rFonts w:ascii="Verdana" w:hAnsi="Verdana"/>
          <w:sz w:val="20"/>
          <w:szCs w:val="20"/>
        </w:rPr>
      </w:pPr>
      <w:r w:rsidRPr="00FE46C0">
        <w:rPr>
          <w:rFonts w:ascii="Verdana" w:hAnsi="Verdana"/>
          <w:sz w:val="20"/>
          <w:szCs w:val="20"/>
        </w:rPr>
        <w:t xml:space="preserve">Las entidades vigiladas que en desarrollo de sus operaciones financieras se encuentren </w:t>
      </w:r>
      <w:r w:rsidRPr="004067BE">
        <w:rPr>
          <w:rFonts w:ascii="Verdana" w:hAnsi="Verdana"/>
          <w:sz w:val="20"/>
          <w:szCs w:val="20"/>
        </w:rPr>
        <w:t xml:space="preserve">expuestas al riesgo país deben cumplir con las instrucciones establecidas en el presente numeral y en la </w:t>
      </w:r>
      <w:r w:rsidR="00720123" w:rsidRPr="004067BE">
        <w:rPr>
          <w:rFonts w:ascii="Verdana" w:hAnsi="Verdana"/>
          <w:sz w:val="20"/>
          <w:szCs w:val="20"/>
        </w:rPr>
        <w:t>sección 3</w:t>
      </w:r>
      <w:r w:rsidRPr="004067BE">
        <w:rPr>
          <w:rFonts w:ascii="Verdana" w:hAnsi="Verdana"/>
          <w:sz w:val="20"/>
          <w:szCs w:val="20"/>
        </w:rPr>
        <w:t xml:space="preserve"> del presente</w:t>
      </w:r>
      <w:r w:rsidRPr="00FE46C0">
        <w:rPr>
          <w:rFonts w:ascii="Verdana" w:hAnsi="Verdana"/>
          <w:sz w:val="20"/>
          <w:szCs w:val="20"/>
        </w:rPr>
        <w:t xml:space="preserve"> </w:t>
      </w:r>
      <w:r w:rsidR="00720123">
        <w:rPr>
          <w:rFonts w:ascii="Verdana" w:hAnsi="Verdana"/>
          <w:sz w:val="20"/>
          <w:szCs w:val="20"/>
        </w:rPr>
        <w:t>c</w:t>
      </w:r>
      <w:r w:rsidRPr="00FE46C0">
        <w:rPr>
          <w:rFonts w:ascii="Verdana" w:hAnsi="Verdana"/>
          <w:sz w:val="20"/>
          <w:szCs w:val="20"/>
        </w:rPr>
        <w:t>apítulo</w:t>
      </w:r>
      <w:r w:rsidR="004067BE">
        <w:rPr>
          <w:rFonts w:ascii="Verdana" w:hAnsi="Verdana"/>
          <w:sz w:val="20"/>
          <w:szCs w:val="20"/>
        </w:rPr>
        <w:t>, en relación con la medición del riesgo país</w:t>
      </w:r>
      <w:r w:rsidRPr="00FE46C0">
        <w:rPr>
          <w:rFonts w:ascii="Verdana" w:hAnsi="Verdana"/>
          <w:sz w:val="20"/>
          <w:szCs w:val="20"/>
        </w:rPr>
        <w:t>.</w:t>
      </w:r>
    </w:p>
    <w:p w14:paraId="220EA798" w14:textId="77777777" w:rsidR="00D60154" w:rsidRPr="007735FE" w:rsidRDefault="00D60154" w:rsidP="00D60154">
      <w:pPr>
        <w:jc w:val="both"/>
        <w:rPr>
          <w:rFonts w:ascii="Verdana" w:hAnsi="Verdana"/>
          <w:b/>
          <w:bCs/>
          <w:sz w:val="20"/>
          <w:szCs w:val="20"/>
        </w:rPr>
      </w:pPr>
      <w:r>
        <w:rPr>
          <w:rFonts w:ascii="Verdana" w:hAnsi="Verdana"/>
          <w:b/>
          <w:bCs/>
          <w:sz w:val="20"/>
          <w:szCs w:val="20"/>
        </w:rPr>
        <w:t>Componentes</w:t>
      </w:r>
    </w:p>
    <w:p w14:paraId="2740446B" w14:textId="582D448E" w:rsidR="00D60154" w:rsidRPr="000001A2" w:rsidRDefault="00D60154" w:rsidP="00D60154">
      <w:pPr>
        <w:spacing w:after="0"/>
        <w:jc w:val="both"/>
        <w:rPr>
          <w:rFonts w:ascii="Verdana" w:hAnsi="Verdana"/>
          <w:sz w:val="20"/>
          <w:szCs w:val="20"/>
        </w:rPr>
      </w:pPr>
      <w:r>
        <w:rPr>
          <w:rFonts w:ascii="Verdana" w:hAnsi="Verdana"/>
          <w:sz w:val="20"/>
          <w:szCs w:val="20"/>
        </w:rPr>
        <w:t>1.1.2.</w:t>
      </w:r>
      <w:r w:rsidR="00AB4DDD">
        <w:rPr>
          <w:rFonts w:ascii="Verdana" w:hAnsi="Verdana"/>
          <w:sz w:val="20"/>
          <w:szCs w:val="20"/>
        </w:rPr>
        <w:t>201</w:t>
      </w:r>
      <w:r>
        <w:rPr>
          <w:rFonts w:ascii="Verdana" w:hAnsi="Verdana"/>
          <w:sz w:val="20"/>
          <w:szCs w:val="20"/>
        </w:rPr>
        <w:t>.</w:t>
      </w:r>
    </w:p>
    <w:p w14:paraId="678D7A4F" w14:textId="7BD22DA7" w:rsidR="00D60154" w:rsidRDefault="0044348F" w:rsidP="00D60154">
      <w:pPr>
        <w:jc w:val="both"/>
        <w:rPr>
          <w:rFonts w:ascii="Verdana" w:hAnsi="Verdana"/>
          <w:sz w:val="20"/>
          <w:szCs w:val="20"/>
        </w:rPr>
      </w:pPr>
      <w:r w:rsidRPr="0044348F">
        <w:rPr>
          <w:rFonts w:ascii="Verdana" w:hAnsi="Verdana"/>
          <w:sz w:val="20"/>
          <w:szCs w:val="20"/>
        </w:rPr>
        <w:t xml:space="preserve">La entidad debe implementar una adecuada gestión del riesgo país al que se ve expuesta en virtud de las operaciones financieras. La gestión debe propender por una adecuada identificación, medición, control y monitoreo y debe ser acorde con el perfil y MAR, el plan de negocio, la naturaleza, el tamaño y la complejidad y diversidad de las actividades que desarrolle la entidad, así como con su importancia por tamaño e interconectividad en el sistema financiero y los entornos económicos y de los mercados en donde </w:t>
      </w:r>
      <w:r w:rsidR="00834F83">
        <w:rPr>
          <w:rFonts w:ascii="Verdana" w:hAnsi="Verdana"/>
          <w:sz w:val="20"/>
          <w:szCs w:val="20"/>
        </w:rPr>
        <w:t>l</w:t>
      </w:r>
      <w:r w:rsidRPr="0044348F">
        <w:rPr>
          <w:rFonts w:ascii="Verdana" w:hAnsi="Verdana"/>
          <w:sz w:val="20"/>
          <w:szCs w:val="20"/>
        </w:rPr>
        <w:t xml:space="preserve">a </w:t>
      </w:r>
      <w:r w:rsidR="00834F83">
        <w:rPr>
          <w:rFonts w:ascii="Verdana" w:hAnsi="Verdana"/>
          <w:sz w:val="20"/>
          <w:szCs w:val="20"/>
        </w:rPr>
        <w:t>entidad</w:t>
      </w:r>
      <w:r w:rsidRPr="0044348F">
        <w:rPr>
          <w:rFonts w:ascii="Verdana" w:hAnsi="Verdana"/>
          <w:sz w:val="20"/>
          <w:szCs w:val="20"/>
        </w:rPr>
        <w:t xml:space="preserve"> opera. Esta gestión debe permitirles a las entidades hacer el análisis individual y consolidado en lo referente al riesgo país. Para lo anterior la entidad debe contar con las políticas, procedimientos, umbrales, límites, controles, metodologías, modelos y sistemas de información para su instrumentación.</w:t>
      </w:r>
    </w:p>
    <w:p w14:paraId="16798009" w14:textId="28E9ED8C" w:rsidR="00AB4DDD" w:rsidRPr="000001A2" w:rsidRDefault="00AB4DDD" w:rsidP="00AB4DDD">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.1.2.202.</w:t>
      </w:r>
    </w:p>
    <w:p w14:paraId="4E3195F6" w14:textId="095948E3" w:rsidR="00AB4DDD" w:rsidRPr="000209E8" w:rsidRDefault="0008317B" w:rsidP="00AB4DDD">
      <w:pPr>
        <w:jc w:val="both"/>
        <w:rPr>
          <w:rFonts w:ascii="Verdana" w:hAnsi="Verdana"/>
          <w:sz w:val="20"/>
          <w:szCs w:val="20"/>
        </w:rPr>
      </w:pPr>
      <w:r w:rsidRPr="0008317B">
        <w:rPr>
          <w:rFonts w:ascii="Verdana" w:hAnsi="Verdana"/>
          <w:sz w:val="20"/>
          <w:szCs w:val="20"/>
        </w:rPr>
        <w:t>Adicionalmente, las entidades deben reconocer la interacción que tiene el riesgo país, con otros riesgos como los de mercado y de crédito, a los cuales están expuestas en virtud de sus actividades, por lo que la gestión de este riesgo debe estar acorde con los demás sistemas de administración de riesgos de la entidad y su sistema de control interno establecido.</w:t>
      </w:r>
    </w:p>
    <w:p w14:paraId="5F52DD26" w14:textId="12A95674" w:rsidR="00AB4DDD" w:rsidRPr="000001A2" w:rsidRDefault="00AB4DDD" w:rsidP="00AB4DDD">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.1.2.203.</w:t>
      </w:r>
    </w:p>
    <w:p w14:paraId="772ED588" w14:textId="13A41424" w:rsidR="0044348F" w:rsidRDefault="002B599E" w:rsidP="00D60154">
      <w:pPr>
        <w:jc w:val="both"/>
        <w:rPr>
          <w:rFonts w:ascii="Verdana" w:hAnsi="Verdana"/>
          <w:sz w:val="20"/>
          <w:szCs w:val="20"/>
        </w:rPr>
      </w:pPr>
      <w:r w:rsidRPr="002B599E">
        <w:rPr>
          <w:rFonts w:ascii="Verdana" w:hAnsi="Verdana"/>
          <w:sz w:val="20"/>
          <w:szCs w:val="20"/>
        </w:rPr>
        <w:t>La gestión del riesgo país debe incorporar un análisis prospectivo a partir del cual la entidad define las jurisdicciones elegibles para realizar inversiones de capital en el exterior y determinar los procedimientos previos a la realización de estas operaciones, y debe considerar, entre otros, el contenido de los estudios periódicos que se realizan respecto de las jurisdicciones donde realiza sus operaciones financieras</w:t>
      </w:r>
      <w:r w:rsidR="00634D37">
        <w:rPr>
          <w:rFonts w:ascii="Verdana" w:hAnsi="Verdana"/>
          <w:sz w:val="20"/>
          <w:szCs w:val="20"/>
        </w:rPr>
        <w:t>.</w:t>
      </w:r>
    </w:p>
    <w:p w14:paraId="399A26CE" w14:textId="77777777" w:rsidR="00D60154" w:rsidRPr="007735FE" w:rsidRDefault="00D60154" w:rsidP="00D60154">
      <w:pPr>
        <w:jc w:val="both"/>
        <w:rPr>
          <w:rFonts w:ascii="Verdana" w:hAnsi="Verdana"/>
          <w:b/>
          <w:bCs/>
          <w:sz w:val="20"/>
          <w:szCs w:val="20"/>
        </w:rPr>
      </w:pPr>
      <w:r>
        <w:rPr>
          <w:rFonts w:ascii="Verdana" w:hAnsi="Verdana"/>
          <w:b/>
          <w:bCs/>
          <w:sz w:val="20"/>
          <w:szCs w:val="20"/>
        </w:rPr>
        <w:t>Etapas</w:t>
      </w:r>
    </w:p>
    <w:p w14:paraId="69CF7B35" w14:textId="5C624F30" w:rsidR="00D60154" w:rsidRPr="00443A04" w:rsidRDefault="00D60154" w:rsidP="00D60154">
      <w:pPr>
        <w:spacing w:after="0"/>
        <w:jc w:val="both"/>
        <w:rPr>
          <w:rFonts w:ascii="Verdana" w:hAnsi="Verdana"/>
          <w:sz w:val="20"/>
          <w:szCs w:val="20"/>
        </w:rPr>
      </w:pPr>
      <w:r>
        <w:rPr>
          <w:rFonts w:ascii="Verdana" w:hAnsi="Verdana"/>
          <w:sz w:val="20"/>
          <w:szCs w:val="20"/>
        </w:rPr>
        <w:t>1.1.2.</w:t>
      </w:r>
      <w:r w:rsidR="00D307FF">
        <w:rPr>
          <w:rFonts w:ascii="Verdana" w:hAnsi="Verdana"/>
          <w:sz w:val="20"/>
          <w:szCs w:val="20"/>
        </w:rPr>
        <w:t>204</w:t>
      </w:r>
      <w:r>
        <w:rPr>
          <w:rFonts w:ascii="Verdana" w:hAnsi="Verdana"/>
          <w:sz w:val="20"/>
          <w:szCs w:val="20"/>
        </w:rPr>
        <w:t>.</w:t>
      </w:r>
    </w:p>
    <w:p w14:paraId="0EB84452" w14:textId="7AEBCA7F" w:rsidR="00E9677E" w:rsidRPr="00443A04" w:rsidRDefault="00B472AD" w:rsidP="00D60154">
      <w:pPr>
        <w:jc w:val="both"/>
        <w:rPr>
          <w:rFonts w:ascii="Verdana" w:hAnsi="Verdana"/>
          <w:sz w:val="20"/>
          <w:szCs w:val="20"/>
        </w:rPr>
      </w:pPr>
      <w:r w:rsidRPr="00B472AD">
        <w:rPr>
          <w:rFonts w:ascii="Verdana" w:hAnsi="Verdana"/>
          <w:sz w:val="20"/>
          <w:szCs w:val="20"/>
        </w:rPr>
        <w:t>Para la administración del riesgo país, la entidad debe desarrollar las siguientes etapas:</w:t>
      </w:r>
    </w:p>
    <w:p w14:paraId="1430BA70" w14:textId="77777777" w:rsidR="00D60154" w:rsidRPr="00732E97" w:rsidRDefault="00D60154" w:rsidP="00D60154">
      <w:pPr>
        <w:pStyle w:val="Prrafodelista"/>
        <w:numPr>
          <w:ilvl w:val="0"/>
          <w:numId w:val="2"/>
        </w:numPr>
        <w:ind w:left="284" w:hanging="284"/>
        <w:jc w:val="both"/>
        <w:rPr>
          <w:rFonts w:ascii="Verdana" w:hAnsi="Verdana"/>
          <w:b/>
          <w:bCs/>
          <w:sz w:val="20"/>
          <w:szCs w:val="20"/>
        </w:rPr>
      </w:pPr>
      <w:r>
        <w:rPr>
          <w:rFonts w:ascii="Verdana" w:hAnsi="Verdana"/>
          <w:b/>
          <w:bCs/>
          <w:sz w:val="20"/>
          <w:szCs w:val="20"/>
        </w:rPr>
        <w:lastRenderedPageBreak/>
        <w:t>Identificación</w:t>
      </w:r>
    </w:p>
    <w:p w14:paraId="2C6D15F5" w14:textId="55502C26" w:rsidR="00D60154" w:rsidRPr="0086035E" w:rsidRDefault="00D60154" w:rsidP="00D6015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B472AD">
        <w:rPr>
          <w:rFonts w:ascii="Verdana" w:hAnsi="Verdana"/>
          <w:sz w:val="20"/>
          <w:szCs w:val="20"/>
        </w:rPr>
        <w:t>205</w:t>
      </w:r>
      <w:r w:rsidRPr="0086035E">
        <w:rPr>
          <w:rFonts w:ascii="Verdana" w:hAnsi="Verdana"/>
          <w:sz w:val="20"/>
          <w:szCs w:val="20"/>
        </w:rPr>
        <w:t>.</w:t>
      </w:r>
    </w:p>
    <w:p w14:paraId="521B05F7" w14:textId="18211E4D" w:rsidR="00D307FF" w:rsidRDefault="00D60154" w:rsidP="00D60154">
      <w:pPr>
        <w:jc w:val="both"/>
        <w:rPr>
          <w:rFonts w:ascii="Verdana" w:hAnsi="Verdana"/>
          <w:sz w:val="20"/>
          <w:szCs w:val="20"/>
        </w:rPr>
      </w:pPr>
      <w:r w:rsidRPr="007842B8">
        <w:rPr>
          <w:rFonts w:ascii="Verdana" w:hAnsi="Verdana"/>
          <w:sz w:val="20"/>
          <w:szCs w:val="20"/>
        </w:rPr>
        <w:t>La</w:t>
      </w:r>
      <w:r w:rsidR="002007DF">
        <w:rPr>
          <w:rFonts w:ascii="Verdana" w:hAnsi="Verdana"/>
          <w:sz w:val="20"/>
          <w:szCs w:val="20"/>
        </w:rPr>
        <w:t>s</w:t>
      </w:r>
      <w:r w:rsidR="004539BE" w:rsidRPr="004539BE">
        <w:rPr>
          <w:rFonts w:ascii="Verdana" w:hAnsi="Verdana"/>
          <w:sz w:val="20"/>
          <w:szCs w:val="20"/>
        </w:rPr>
        <w:t xml:space="preserve"> entidad</w:t>
      </w:r>
      <w:r w:rsidR="002007DF">
        <w:rPr>
          <w:rFonts w:ascii="Verdana" w:hAnsi="Verdana"/>
          <w:sz w:val="20"/>
          <w:szCs w:val="20"/>
        </w:rPr>
        <w:t>es</w:t>
      </w:r>
      <w:r w:rsidR="004539BE" w:rsidRPr="004539BE">
        <w:rPr>
          <w:rFonts w:ascii="Verdana" w:hAnsi="Verdana"/>
          <w:sz w:val="20"/>
          <w:szCs w:val="20"/>
        </w:rPr>
        <w:t xml:space="preserve"> debe</w:t>
      </w:r>
      <w:r w:rsidR="002007DF">
        <w:rPr>
          <w:rFonts w:ascii="Verdana" w:hAnsi="Verdana"/>
          <w:sz w:val="20"/>
          <w:szCs w:val="20"/>
        </w:rPr>
        <w:t>n</w:t>
      </w:r>
      <w:r w:rsidR="004539BE" w:rsidRPr="004539BE">
        <w:rPr>
          <w:rFonts w:ascii="Verdana" w:hAnsi="Verdana"/>
          <w:sz w:val="20"/>
          <w:szCs w:val="20"/>
        </w:rPr>
        <w:t xml:space="preserve"> identificar en todo momento el riesgo país al que está expuesta, en función del plan de negocio, apetito de riesgo, tipo y características de las operaciones financieras realizadas, las condiciones económicas y sociopolíticas del país receptor de la operación, problemas de transferencias de divisas o factores no imputables a la condición comercial y financiera del país destinatario de la operación, y que tendría como consecuencia la pérdida parcial o total de su valor.</w:t>
      </w:r>
    </w:p>
    <w:p w14:paraId="6ADAB27A" w14:textId="77777777" w:rsidR="00D60154" w:rsidRPr="00732E97" w:rsidRDefault="00D60154" w:rsidP="00D60154">
      <w:pPr>
        <w:pStyle w:val="Prrafodelista"/>
        <w:numPr>
          <w:ilvl w:val="0"/>
          <w:numId w:val="2"/>
        </w:numPr>
        <w:ind w:left="284" w:hanging="284"/>
        <w:jc w:val="both"/>
        <w:rPr>
          <w:rFonts w:ascii="Verdana" w:hAnsi="Verdana"/>
          <w:b/>
          <w:bCs/>
          <w:sz w:val="20"/>
          <w:szCs w:val="20"/>
        </w:rPr>
      </w:pPr>
      <w:r>
        <w:rPr>
          <w:rFonts w:ascii="Verdana" w:hAnsi="Verdana"/>
          <w:b/>
          <w:bCs/>
          <w:sz w:val="20"/>
          <w:szCs w:val="20"/>
        </w:rPr>
        <w:t>Medición</w:t>
      </w:r>
    </w:p>
    <w:p w14:paraId="62FDE795" w14:textId="24622931" w:rsidR="00D60154" w:rsidRPr="0086035E" w:rsidRDefault="00D60154" w:rsidP="00D6015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4539BE">
        <w:rPr>
          <w:rFonts w:ascii="Verdana" w:hAnsi="Verdana"/>
          <w:sz w:val="20"/>
          <w:szCs w:val="20"/>
        </w:rPr>
        <w:t>206</w:t>
      </w:r>
      <w:r w:rsidRPr="0086035E">
        <w:rPr>
          <w:rFonts w:ascii="Verdana" w:hAnsi="Verdana"/>
          <w:sz w:val="20"/>
          <w:szCs w:val="20"/>
        </w:rPr>
        <w:t>.</w:t>
      </w:r>
    </w:p>
    <w:p w14:paraId="41AA234F" w14:textId="6FD64806" w:rsidR="00D60154" w:rsidRDefault="00D60154" w:rsidP="00755F5C">
      <w:pPr>
        <w:jc w:val="both"/>
        <w:rPr>
          <w:rFonts w:ascii="Verdana" w:hAnsi="Verdana"/>
          <w:sz w:val="20"/>
          <w:szCs w:val="20"/>
        </w:rPr>
      </w:pPr>
      <w:r w:rsidRPr="00D01D7F">
        <w:rPr>
          <w:rFonts w:ascii="Verdana" w:hAnsi="Verdana"/>
          <w:sz w:val="20"/>
          <w:szCs w:val="20"/>
        </w:rPr>
        <w:t>La</w:t>
      </w:r>
      <w:r w:rsidR="001A27D0">
        <w:rPr>
          <w:rFonts w:ascii="Verdana" w:hAnsi="Verdana"/>
          <w:sz w:val="20"/>
          <w:szCs w:val="20"/>
        </w:rPr>
        <w:t>s</w:t>
      </w:r>
      <w:r w:rsidRPr="00D01D7F">
        <w:rPr>
          <w:rFonts w:ascii="Verdana" w:hAnsi="Verdana"/>
          <w:sz w:val="20"/>
          <w:szCs w:val="20"/>
        </w:rPr>
        <w:t xml:space="preserve"> </w:t>
      </w:r>
      <w:r w:rsidR="00E711E0" w:rsidRPr="00E711E0">
        <w:rPr>
          <w:rFonts w:ascii="Verdana" w:hAnsi="Verdana"/>
          <w:sz w:val="20"/>
          <w:szCs w:val="20"/>
        </w:rPr>
        <w:t>entidad</w:t>
      </w:r>
      <w:r w:rsidR="001A27D0">
        <w:rPr>
          <w:rFonts w:ascii="Verdana" w:hAnsi="Verdana"/>
          <w:sz w:val="20"/>
          <w:szCs w:val="20"/>
        </w:rPr>
        <w:t>es</w:t>
      </w:r>
      <w:r w:rsidR="00E711E0" w:rsidRPr="00E711E0">
        <w:rPr>
          <w:rFonts w:ascii="Verdana" w:hAnsi="Verdana"/>
          <w:sz w:val="20"/>
          <w:szCs w:val="20"/>
        </w:rPr>
        <w:t xml:space="preserve"> debe</w:t>
      </w:r>
      <w:r w:rsidR="001A27D0">
        <w:rPr>
          <w:rFonts w:ascii="Verdana" w:hAnsi="Verdana"/>
          <w:sz w:val="20"/>
          <w:szCs w:val="20"/>
        </w:rPr>
        <w:t>n</w:t>
      </w:r>
      <w:r w:rsidR="00E711E0" w:rsidRPr="00E711E0">
        <w:rPr>
          <w:rFonts w:ascii="Verdana" w:hAnsi="Verdana"/>
          <w:sz w:val="20"/>
          <w:szCs w:val="20"/>
        </w:rPr>
        <w:t xml:space="preserve"> cuantificar el nivel de exposición al riesgo país inherente a sus operaciones financieras en el exterior, evaluando su posibilidad de ocurrencia y su severidad en caso de materializarse.</w:t>
      </w:r>
    </w:p>
    <w:p w14:paraId="371961EB" w14:textId="457A27EE" w:rsidR="00D60154" w:rsidRPr="0086035E" w:rsidRDefault="00D60154" w:rsidP="00D6015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227CAA">
        <w:rPr>
          <w:rFonts w:ascii="Verdana" w:hAnsi="Verdana"/>
          <w:sz w:val="20"/>
          <w:szCs w:val="20"/>
        </w:rPr>
        <w:t>207</w:t>
      </w:r>
      <w:r w:rsidRPr="0086035E">
        <w:rPr>
          <w:rFonts w:ascii="Verdana" w:hAnsi="Verdana"/>
          <w:sz w:val="20"/>
          <w:szCs w:val="20"/>
        </w:rPr>
        <w:t>.</w:t>
      </w:r>
    </w:p>
    <w:p w14:paraId="63CE5481" w14:textId="6131C953" w:rsidR="00D60154" w:rsidRDefault="00227CAA" w:rsidP="00D60154">
      <w:pPr>
        <w:jc w:val="both"/>
        <w:rPr>
          <w:rFonts w:ascii="Verdana" w:hAnsi="Verdana"/>
          <w:sz w:val="20"/>
          <w:szCs w:val="20"/>
        </w:rPr>
      </w:pPr>
      <w:r w:rsidRPr="00227CAA">
        <w:rPr>
          <w:rFonts w:ascii="Verdana" w:hAnsi="Verdana"/>
          <w:sz w:val="20"/>
          <w:szCs w:val="20"/>
        </w:rPr>
        <w:t>Por lo tanto, la entidad debe diseñar e implementar una metodología prospectiva para la evaluación del riesgo país y establecer los criterios a considerar para determinar si existe o no un detrimento de las operaciones financieras en el exterior. Dicha metodología debe, como mínimo, partir del análisis de la situación económica, social y política de cada país donde estén domiciliadas sus operaciones financieras y considerar de igual manera, la capacidad presente y futura de ese país de realizar transacciones con el exterior, de servir los compromisos derivados de ellas y de contar con la información necesaria para advertir hechos que puedan alterar su capacidad de cumplir con sus compromisos financieros.</w:t>
      </w:r>
    </w:p>
    <w:p w14:paraId="7D8CB46C" w14:textId="52BC15F0" w:rsidR="00D60154" w:rsidRPr="0086035E" w:rsidRDefault="00D60154" w:rsidP="00D6015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4A08E5">
        <w:rPr>
          <w:rFonts w:ascii="Verdana" w:hAnsi="Verdana"/>
          <w:sz w:val="20"/>
          <w:szCs w:val="20"/>
        </w:rPr>
        <w:t>208</w:t>
      </w:r>
      <w:r w:rsidRPr="0086035E">
        <w:rPr>
          <w:rFonts w:ascii="Verdana" w:hAnsi="Verdana"/>
          <w:sz w:val="20"/>
          <w:szCs w:val="20"/>
        </w:rPr>
        <w:t>.</w:t>
      </w:r>
    </w:p>
    <w:p w14:paraId="19F29217" w14:textId="6C15589E" w:rsidR="00D60154" w:rsidRPr="008D1A73" w:rsidRDefault="004A08E5" w:rsidP="00D60154">
      <w:pPr>
        <w:jc w:val="both"/>
        <w:rPr>
          <w:rFonts w:ascii="Verdana" w:hAnsi="Verdana"/>
          <w:sz w:val="20"/>
          <w:szCs w:val="20"/>
        </w:rPr>
      </w:pPr>
      <w:r w:rsidRPr="004A08E5">
        <w:rPr>
          <w:rFonts w:ascii="Verdana" w:hAnsi="Verdana"/>
          <w:sz w:val="20"/>
          <w:szCs w:val="20"/>
        </w:rPr>
        <w:t>En la evaluación del riesgo país, la entidad debe efectuar como mínimo dos tipos de análisis: (i) análisis base, soportado en indicadores financieros, económicos y de mercado y (</w:t>
      </w:r>
      <w:proofErr w:type="spellStart"/>
      <w:r w:rsidRPr="004A08E5">
        <w:rPr>
          <w:rFonts w:ascii="Verdana" w:hAnsi="Verdana"/>
          <w:sz w:val="20"/>
          <w:szCs w:val="20"/>
        </w:rPr>
        <w:t>ii</w:t>
      </w:r>
      <w:proofErr w:type="spellEnd"/>
      <w:r w:rsidRPr="004A08E5">
        <w:rPr>
          <w:rFonts w:ascii="Verdana" w:hAnsi="Verdana"/>
          <w:sz w:val="20"/>
          <w:szCs w:val="20"/>
        </w:rPr>
        <w:t>) análisis complementario, el cual se enfoca en aspectos políticos, institucionales y sociales; y demás información relevante que le permita a la entidad evaluar la exposición al riesgo país de sus operaciones financieras en el exterior. Los análisis deben ser periódicos</w:t>
      </w:r>
      <w:r w:rsidR="00EF0876">
        <w:rPr>
          <w:rFonts w:ascii="Verdana" w:hAnsi="Verdana"/>
          <w:sz w:val="20"/>
          <w:szCs w:val="20"/>
        </w:rPr>
        <w:t xml:space="preserve">, </w:t>
      </w:r>
      <w:r w:rsidR="003B5730">
        <w:rPr>
          <w:rFonts w:ascii="Verdana" w:hAnsi="Verdana"/>
          <w:sz w:val="20"/>
          <w:szCs w:val="20"/>
        </w:rPr>
        <w:t xml:space="preserve">como mínimo en las fechas previstas en </w:t>
      </w:r>
      <w:r w:rsidR="00442B06">
        <w:rPr>
          <w:rFonts w:ascii="Verdana" w:hAnsi="Verdana"/>
          <w:sz w:val="20"/>
          <w:szCs w:val="20"/>
        </w:rPr>
        <w:t xml:space="preserve">el párrafo </w:t>
      </w:r>
      <w:r w:rsidR="00AF32DD">
        <w:rPr>
          <w:rFonts w:ascii="Verdana" w:hAnsi="Verdana"/>
          <w:sz w:val="20"/>
          <w:szCs w:val="20"/>
        </w:rPr>
        <w:t>1.1.3.213</w:t>
      </w:r>
      <w:r w:rsidR="001E4F6A">
        <w:rPr>
          <w:rFonts w:ascii="Verdana" w:hAnsi="Verdana"/>
          <w:sz w:val="20"/>
          <w:szCs w:val="20"/>
        </w:rPr>
        <w:t xml:space="preserve"> del presente </w:t>
      </w:r>
      <w:r w:rsidR="002E3C8F">
        <w:rPr>
          <w:rFonts w:ascii="Verdana" w:hAnsi="Verdana"/>
          <w:sz w:val="20"/>
          <w:szCs w:val="20"/>
        </w:rPr>
        <w:t>c</w:t>
      </w:r>
      <w:r w:rsidR="001E4F6A">
        <w:rPr>
          <w:rFonts w:ascii="Verdana" w:hAnsi="Verdana"/>
          <w:sz w:val="20"/>
          <w:szCs w:val="20"/>
        </w:rPr>
        <w:t>apítulo</w:t>
      </w:r>
      <w:r w:rsidR="00F6102A">
        <w:rPr>
          <w:rFonts w:ascii="Verdana" w:hAnsi="Verdana"/>
          <w:sz w:val="20"/>
          <w:szCs w:val="20"/>
        </w:rPr>
        <w:t xml:space="preserve"> en lo que se refiere al ajuste por deterioro del valor</w:t>
      </w:r>
      <w:r w:rsidR="00EF0876">
        <w:rPr>
          <w:rFonts w:ascii="Verdana" w:hAnsi="Verdana"/>
          <w:sz w:val="20"/>
          <w:szCs w:val="20"/>
        </w:rPr>
        <w:t xml:space="preserve"> de </w:t>
      </w:r>
      <w:r w:rsidR="00F6102A">
        <w:rPr>
          <w:rFonts w:ascii="Verdana" w:hAnsi="Verdana"/>
          <w:sz w:val="20"/>
          <w:szCs w:val="20"/>
        </w:rPr>
        <w:t>la inversión</w:t>
      </w:r>
      <w:r w:rsidR="001E4F6A">
        <w:rPr>
          <w:rFonts w:ascii="Verdana" w:hAnsi="Verdana"/>
          <w:sz w:val="20"/>
          <w:szCs w:val="20"/>
        </w:rPr>
        <w:t>,</w:t>
      </w:r>
      <w:r w:rsidRPr="004A08E5">
        <w:rPr>
          <w:rFonts w:ascii="Verdana" w:hAnsi="Verdana"/>
          <w:sz w:val="20"/>
          <w:szCs w:val="20"/>
        </w:rPr>
        <w:t xml:space="preserve"> y deben permitirle a la entidad realizar un seguimiento efectivo a los cambios económicos, sociales y políticos que se presentan en las jurisdicciones donde realiza sus inversiones de capital.</w:t>
      </w:r>
      <w:r>
        <w:rPr>
          <w:rFonts w:ascii="Verdana" w:hAnsi="Verdana"/>
          <w:sz w:val="20"/>
          <w:szCs w:val="20"/>
        </w:rPr>
        <w:t xml:space="preserve"> </w:t>
      </w:r>
    </w:p>
    <w:p w14:paraId="1C0B3A88" w14:textId="1F94F378" w:rsidR="00D60154" w:rsidRPr="009852C8" w:rsidRDefault="00DF2592" w:rsidP="00D60154">
      <w:pPr>
        <w:pStyle w:val="Prrafodelista"/>
        <w:numPr>
          <w:ilvl w:val="0"/>
          <w:numId w:val="6"/>
        </w:numPr>
        <w:ind w:left="567" w:hanging="283"/>
        <w:jc w:val="both"/>
        <w:rPr>
          <w:rFonts w:ascii="Verdana" w:hAnsi="Verdana"/>
          <w:b/>
          <w:bCs/>
          <w:sz w:val="20"/>
          <w:szCs w:val="20"/>
        </w:rPr>
      </w:pPr>
      <w:r>
        <w:rPr>
          <w:rFonts w:ascii="Verdana" w:hAnsi="Verdana"/>
          <w:b/>
          <w:bCs/>
          <w:sz w:val="20"/>
          <w:szCs w:val="20"/>
        </w:rPr>
        <w:t>Análisis base</w:t>
      </w:r>
    </w:p>
    <w:p w14:paraId="0A51E157" w14:textId="427734AB" w:rsidR="00DF2592" w:rsidRPr="00DF2592" w:rsidRDefault="00DF2592" w:rsidP="00DF2592">
      <w:pPr>
        <w:spacing w:after="0"/>
        <w:jc w:val="both"/>
        <w:rPr>
          <w:rFonts w:ascii="Verdana" w:hAnsi="Verdana"/>
          <w:sz w:val="20"/>
          <w:szCs w:val="20"/>
        </w:rPr>
      </w:pPr>
      <w:r w:rsidRPr="00DF2592">
        <w:rPr>
          <w:rFonts w:ascii="Verdana" w:hAnsi="Verdana"/>
          <w:sz w:val="20"/>
          <w:szCs w:val="20"/>
        </w:rPr>
        <w:t>1.1.2.</w:t>
      </w:r>
      <w:r w:rsidR="00F044B7">
        <w:rPr>
          <w:rFonts w:ascii="Verdana" w:hAnsi="Verdana"/>
          <w:sz w:val="20"/>
          <w:szCs w:val="20"/>
        </w:rPr>
        <w:t>209</w:t>
      </w:r>
      <w:r w:rsidRPr="00DF2592">
        <w:rPr>
          <w:rFonts w:ascii="Verdana" w:hAnsi="Verdana"/>
          <w:sz w:val="20"/>
          <w:szCs w:val="20"/>
        </w:rPr>
        <w:t>.</w:t>
      </w:r>
    </w:p>
    <w:p w14:paraId="62851BEE" w14:textId="77777777" w:rsidR="00A46DAF" w:rsidRDefault="00FA3171" w:rsidP="00DF2592">
      <w:pPr>
        <w:jc w:val="both"/>
        <w:rPr>
          <w:rFonts w:ascii="Verdana" w:hAnsi="Verdana"/>
          <w:sz w:val="20"/>
          <w:szCs w:val="20"/>
        </w:rPr>
      </w:pPr>
      <w:r w:rsidRPr="00FA3171">
        <w:rPr>
          <w:rFonts w:ascii="Verdana" w:hAnsi="Verdana"/>
          <w:sz w:val="20"/>
          <w:szCs w:val="20"/>
        </w:rPr>
        <w:t>La entidad debe evaluar factores de tipo cuantitativo que contemplen los siguientes elementos:</w:t>
      </w:r>
    </w:p>
    <w:p w14:paraId="32668EDE" w14:textId="4FC70511" w:rsidR="00C35441" w:rsidRDefault="00C35441" w:rsidP="001E60AA">
      <w:pPr>
        <w:pStyle w:val="Prrafodelista"/>
        <w:numPr>
          <w:ilvl w:val="0"/>
          <w:numId w:val="70"/>
        </w:numPr>
        <w:ind w:left="567" w:hanging="567"/>
        <w:jc w:val="both"/>
        <w:rPr>
          <w:rFonts w:ascii="Verdana" w:hAnsi="Verdana"/>
          <w:sz w:val="20"/>
          <w:szCs w:val="20"/>
        </w:rPr>
      </w:pPr>
      <w:r w:rsidRPr="00A46DAF">
        <w:rPr>
          <w:rFonts w:ascii="Verdana" w:hAnsi="Verdana"/>
          <w:sz w:val="20"/>
          <w:szCs w:val="20"/>
        </w:rPr>
        <w:t>Indicadores económicos</w:t>
      </w:r>
      <w:r w:rsidR="00A46DAF">
        <w:rPr>
          <w:rFonts w:ascii="Verdana" w:hAnsi="Verdana"/>
          <w:sz w:val="20"/>
          <w:szCs w:val="20"/>
        </w:rPr>
        <w:t>:</w:t>
      </w:r>
      <w:r w:rsidR="00F650D4">
        <w:rPr>
          <w:rFonts w:ascii="Verdana" w:hAnsi="Verdana"/>
          <w:sz w:val="20"/>
          <w:szCs w:val="20"/>
        </w:rPr>
        <w:t xml:space="preserve"> s</w:t>
      </w:r>
      <w:r w:rsidR="00F650D4" w:rsidRPr="00F650D4">
        <w:rPr>
          <w:rFonts w:ascii="Verdana" w:hAnsi="Verdana"/>
          <w:sz w:val="20"/>
          <w:szCs w:val="20"/>
        </w:rPr>
        <w:t>e debe realizar un análisis que le permita a la entidad evaluar la situación económica del país que incorpore las sendas de los siguientes indicadores: Producto Interno Bruto (PIB) e indicadores de demanda agregada (consumo e inversión), inflación, desempleo, balance fiscal (déficit, senda de la deuda y composición de la deuda interna y externa), tasas de interés, y sector externo, evaluando principalmente, la tasa de cambio, el balance en cuenta corriente y el balance en la cuenta de capital, incluyendo en este caso la variación de las reservas internacionales. Las series de las variables utilizadas en este análisis deben abarcar un periodo de 10 años.</w:t>
      </w:r>
    </w:p>
    <w:p w14:paraId="09F35376" w14:textId="354F0978" w:rsidR="00F650D4" w:rsidRDefault="00F650D4" w:rsidP="00F650D4">
      <w:pPr>
        <w:pStyle w:val="Prrafodelista"/>
        <w:ind w:left="567"/>
        <w:jc w:val="both"/>
        <w:rPr>
          <w:rFonts w:ascii="Verdana" w:hAnsi="Verdana"/>
          <w:sz w:val="20"/>
          <w:szCs w:val="20"/>
        </w:rPr>
      </w:pPr>
    </w:p>
    <w:p w14:paraId="31B04B5F" w14:textId="72434093" w:rsidR="00DF2592" w:rsidRDefault="00FA1DF8" w:rsidP="001E60AA">
      <w:pPr>
        <w:pStyle w:val="Prrafodelista"/>
        <w:numPr>
          <w:ilvl w:val="0"/>
          <w:numId w:val="70"/>
        </w:numPr>
        <w:ind w:left="567" w:hanging="567"/>
        <w:jc w:val="both"/>
        <w:rPr>
          <w:rFonts w:ascii="Verdana" w:hAnsi="Verdana"/>
          <w:sz w:val="20"/>
          <w:szCs w:val="20"/>
        </w:rPr>
      </w:pPr>
      <w:r>
        <w:rPr>
          <w:rFonts w:ascii="Verdana" w:hAnsi="Verdana"/>
          <w:sz w:val="20"/>
          <w:szCs w:val="20"/>
        </w:rPr>
        <w:t>Indicadores de mercado: s</w:t>
      </w:r>
      <w:r w:rsidRPr="00FA1DF8">
        <w:rPr>
          <w:rFonts w:ascii="Verdana" w:hAnsi="Verdana"/>
          <w:sz w:val="20"/>
          <w:szCs w:val="20"/>
        </w:rPr>
        <w:t xml:space="preserve">e debe realizar un análisis que permita evaluar la confianza de los mercados, la percepción de riesgo de los inversionistas, disponibilidad y costo del endeudamiento externo, la capacidad soberana de los países para cumplir sus compromisos financieros con el exterior y acceder a mercados de crédito internacionales. Para tal fin se debe considerar las calificaciones de riesgo soberano realizadas por al menos dos agencias calificadoras reconocidas internacionalmente e incorporar en el análisis, cuando se encuentren disponibles, la evolución de indicadores, tales como: los </w:t>
      </w:r>
      <w:r w:rsidRPr="000409FA">
        <w:rPr>
          <w:rFonts w:ascii="Verdana" w:hAnsi="Verdana"/>
          <w:i/>
          <w:iCs/>
          <w:sz w:val="20"/>
          <w:szCs w:val="20"/>
        </w:rPr>
        <w:t>Credit Default Swaps</w:t>
      </w:r>
      <w:r w:rsidRPr="00FA1DF8">
        <w:rPr>
          <w:rFonts w:ascii="Verdana" w:hAnsi="Verdana"/>
          <w:sz w:val="20"/>
          <w:szCs w:val="20"/>
        </w:rPr>
        <w:t xml:space="preserve"> (CDS) y el spread de deuda soberana (EMBI).</w:t>
      </w:r>
      <w:r w:rsidR="00B37807">
        <w:rPr>
          <w:rFonts w:ascii="Verdana" w:hAnsi="Verdana"/>
          <w:sz w:val="20"/>
          <w:szCs w:val="20"/>
        </w:rPr>
        <w:t xml:space="preserve"> </w:t>
      </w:r>
      <w:r w:rsidR="00B37807" w:rsidRPr="00B37807">
        <w:rPr>
          <w:rFonts w:ascii="Verdana" w:hAnsi="Verdana"/>
          <w:sz w:val="20"/>
          <w:szCs w:val="20"/>
        </w:rPr>
        <w:t>La entidad debe evaluar el desempeño de los indicadores líderes del sector en el cual la entidad realizó la inversión en el exterior.</w:t>
      </w:r>
    </w:p>
    <w:p w14:paraId="4FECD262" w14:textId="77777777" w:rsidR="004067BE" w:rsidRDefault="004067BE" w:rsidP="004067BE">
      <w:pPr>
        <w:pStyle w:val="Prrafodelista"/>
        <w:ind w:left="567"/>
        <w:jc w:val="both"/>
        <w:rPr>
          <w:rFonts w:ascii="Verdana" w:hAnsi="Verdana"/>
          <w:b/>
          <w:bCs/>
          <w:sz w:val="20"/>
          <w:szCs w:val="20"/>
        </w:rPr>
      </w:pPr>
    </w:p>
    <w:p w14:paraId="367ACB78" w14:textId="5EC1E7F7" w:rsidR="001D3D54" w:rsidRPr="009852C8" w:rsidRDefault="001E3C88" w:rsidP="001D3D54">
      <w:pPr>
        <w:pStyle w:val="Prrafodelista"/>
        <w:numPr>
          <w:ilvl w:val="0"/>
          <w:numId w:val="6"/>
        </w:numPr>
        <w:ind w:left="567" w:hanging="283"/>
        <w:jc w:val="both"/>
        <w:rPr>
          <w:rFonts w:ascii="Verdana" w:hAnsi="Verdana"/>
          <w:b/>
          <w:bCs/>
          <w:sz w:val="20"/>
          <w:szCs w:val="20"/>
        </w:rPr>
      </w:pPr>
      <w:r>
        <w:rPr>
          <w:rFonts w:ascii="Verdana" w:hAnsi="Verdana"/>
          <w:b/>
          <w:bCs/>
          <w:sz w:val="20"/>
          <w:szCs w:val="20"/>
        </w:rPr>
        <w:lastRenderedPageBreak/>
        <w:t>Análisis complementario</w:t>
      </w:r>
    </w:p>
    <w:p w14:paraId="1FDC9A34" w14:textId="757981DF" w:rsidR="001D3D54" w:rsidRDefault="001D3D54" w:rsidP="001D3D54">
      <w:pPr>
        <w:spacing w:after="0"/>
        <w:jc w:val="both"/>
        <w:rPr>
          <w:rFonts w:ascii="Verdana" w:hAnsi="Verdana"/>
          <w:sz w:val="20"/>
          <w:szCs w:val="20"/>
        </w:rPr>
      </w:pPr>
      <w:r w:rsidRPr="00DF2592">
        <w:rPr>
          <w:rFonts w:ascii="Verdana" w:hAnsi="Verdana"/>
          <w:sz w:val="20"/>
          <w:szCs w:val="20"/>
        </w:rPr>
        <w:t>1.1.2.</w:t>
      </w:r>
      <w:r w:rsidR="00B0609F">
        <w:rPr>
          <w:rFonts w:ascii="Verdana" w:hAnsi="Verdana"/>
          <w:sz w:val="20"/>
          <w:szCs w:val="20"/>
        </w:rPr>
        <w:t>210</w:t>
      </w:r>
      <w:r w:rsidRPr="00DF2592">
        <w:rPr>
          <w:rFonts w:ascii="Verdana" w:hAnsi="Verdana"/>
          <w:sz w:val="20"/>
          <w:szCs w:val="20"/>
        </w:rPr>
        <w:t>.</w:t>
      </w:r>
    </w:p>
    <w:p w14:paraId="36E91DC7" w14:textId="7E607041" w:rsidR="00780552" w:rsidRPr="008D1A73" w:rsidRDefault="00B0609F" w:rsidP="00780552">
      <w:pPr>
        <w:jc w:val="both"/>
        <w:rPr>
          <w:rFonts w:ascii="Verdana" w:hAnsi="Verdana"/>
          <w:sz w:val="20"/>
          <w:szCs w:val="20"/>
        </w:rPr>
      </w:pPr>
      <w:r w:rsidRPr="00B0609F">
        <w:rPr>
          <w:rFonts w:ascii="Verdana" w:hAnsi="Verdana"/>
          <w:sz w:val="20"/>
          <w:szCs w:val="20"/>
        </w:rPr>
        <w:t xml:space="preserve">Comprende todos aquellos aspectos que no son cubiertos en el análisis base pero que son determinantes para una evaluación completa del riesgo país. Para lo anterior la entidad debe analizar los siguientes </w:t>
      </w:r>
      <w:r w:rsidR="00780552">
        <w:rPr>
          <w:rFonts w:ascii="Verdana" w:hAnsi="Verdana"/>
          <w:sz w:val="20"/>
          <w:szCs w:val="20"/>
        </w:rPr>
        <w:t xml:space="preserve">factores: </w:t>
      </w:r>
    </w:p>
    <w:p w14:paraId="282828B3" w14:textId="7470E757" w:rsidR="00780552" w:rsidRPr="009852C8" w:rsidRDefault="00780552" w:rsidP="00E24CB1">
      <w:pPr>
        <w:pStyle w:val="Prrafodelista"/>
        <w:numPr>
          <w:ilvl w:val="1"/>
          <w:numId w:val="6"/>
        </w:numPr>
        <w:ind w:left="851" w:hanging="284"/>
        <w:jc w:val="both"/>
        <w:rPr>
          <w:rFonts w:ascii="Verdana" w:hAnsi="Verdana"/>
          <w:b/>
          <w:bCs/>
          <w:sz w:val="20"/>
          <w:szCs w:val="20"/>
        </w:rPr>
      </w:pPr>
      <w:r w:rsidRPr="00780552">
        <w:rPr>
          <w:rFonts w:ascii="Verdana" w:hAnsi="Verdana"/>
          <w:b/>
          <w:bCs/>
          <w:sz w:val="20"/>
          <w:szCs w:val="20"/>
        </w:rPr>
        <w:t>Políticos, institucionales y sociales</w:t>
      </w:r>
    </w:p>
    <w:p w14:paraId="27AE177F" w14:textId="61C5DA9C" w:rsidR="00780552" w:rsidRPr="00DF2592" w:rsidRDefault="00780552" w:rsidP="00780552">
      <w:pPr>
        <w:spacing w:after="0"/>
        <w:jc w:val="both"/>
        <w:rPr>
          <w:rFonts w:ascii="Verdana" w:hAnsi="Verdana"/>
          <w:sz w:val="20"/>
          <w:szCs w:val="20"/>
        </w:rPr>
      </w:pPr>
      <w:r w:rsidRPr="00DF2592">
        <w:rPr>
          <w:rFonts w:ascii="Verdana" w:hAnsi="Verdana"/>
          <w:sz w:val="20"/>
          <w:szCs w:val="20"/>
        </w:rPr>
        <w:t>1.1.2.</w:t>
      </w:r>
      <w:r>
        <w:rPr>
          <w:rFonts w:ascii="Verdana" w:hAnsi="Verdana"/>
          <w:sz w:val="20"/>
          <w:szCs w:val="20"/>
        </w:rPr>
        <w:t>211</w:t>
      </w:r>
      <w:r w:rsidRPr="00DF2592">
        <w:rPr>
          <w:rFonts w:ascii="Verdana" w:hAnsi="Verdana"/>
          <w:sz w:val="20"/>
          <w:szCs w:val="20"/>
        </w:rPr>
        <w:t>.</w:t>
      </w:r>
    </w:p>
    <w:p w14:paraId="5CC82D04" w14:textId="687AC2C9" w:rsidR="00780552" w:rsidRDefault="00A12EBE" w:rsidP="00780552">
      <w:pPr>
        <w:jc w:val="both"/>
        <w:rPr>
          <w:rFonts w:ascii="Verdana" w:hAnsi="Verdana"/>
          <w:sz w:val="20"/>
          <w:szCs w:val="20"/>
        </w:rPr>
      </w:pPr>
      <w:r>
        <w:rPr>
          <w:rFonts w:ascii="Verdana" w:hAnsi="Verdana"/>
          <w:sz w:val="20"/>
          <w:szCs w:val="20"/>
        </w:rPr>
        <w:t>S</w:t>
      </w:r>
      <w:r w:rsidRPr="001E7B10">
        <w:rPr>
          <w:rFonts w:ascii="Verdana" w:hAnsi="Verdana"/>
          <w:sz w:val="20"/>
          <w:szCs w:val="20"/>
        </w:rPr>
        <w:t>e debe realizar un análisis de la información relacionada con la estabilidad política, jurídica e institucional del país, y condiciones sociales particulares de cada nación que puedan generar deterioros en la disposición o capacidad de cumplir con sus obligaciones en el exterior.</w:t>
      </w:r>
    </w:p>
    <w:p w14:paraId="6310238A" w14:textId="72647CD9" w:rsidR="001E7B10" w:rsidRDefault="001E7B10" w:rsidP="001E7B10">
      <w:pPr>
        <w:spacing w:after="0"/>
        <w:jc w:val="both"/>
        <w:rPr>
          <w:rFonts w:ascii="Verdana" w:hAnsi="Verdana"/>
          <w:sz w:val="20"/>
          <w:szCs w:val="20"/>
        </w:rPr>
      </w:pPr>
      <w:r w:rsidRPr="00DF2592">
        <w:rPr>
          <w:rFonts w:ascii="Verdana" w:hAnsi="Verdana"/>
          <w:sz w:val="20"/>
          <w:szCs w:val="20"/>
        </w:rPr>
        <w:t>1.1.2.</w:t>
      </w:r>
      <w:r>
        <w:rPr>
          <w:rFonts w:ascii="Verdana" w:hAnsi="Verdana"/>
          <w:sz w:val="20"/>
          <w:szCs w:val="20"/>
        </w:rPr>
        <w:t>21</w:t>
      </w:r>
      <w:r w:rsidR="00BB3250">
        <w:rPr>
          <w:rFonts w:ascii="Verdana" w:hAnsi="Verdana"/>
          <w:sz w:val="20"/>
          <w:szCs w:val="20"/>
        </w:rPr>
        <w:t>2</w:t>
      </w:r>
      <w:r w:rsidRPr="00DF2592">
        <w:rPr>
          <w:rFonts w:ascii="Verdana" w:hAnsi="Verdana"/>
          <w:sz w:val="20"/>
          <w:szCs w:val="20"/>
        </w:rPr>
        <w:t>.</w:t>
      </w:r>
    </w:p>
    <w:p w14:paraId="58B6919A" w14:textId="16DA0943" w:rsidR="001E7B10" w:rsidRDefault="00E4535A" w:rsidP="001E7B10">
      <w:pPr>
        <w:jc w:val="both"/>
        <w:rPr>
          <w:rFonts w:ascii="Verdana" w:hAnsi="Verdana"/>
          <w:sz w:val="20"/>
          <w:szCs w:val="20"/>
        </w:rPr>
      </w:pPr>
      <w:r w:rsidRPr="00E4535A">
        <w:rPr>
          <w:rFonts w:ascii="Verdana" w:hAnsi="Verdana"/>
          <w:sz w:val="20"/>
          <w:szCs w:val="20"/>
        </w:rPr>
        <w:t>De igual manera, se debe considerar la existencia o posibilidad de ocurrencia de conflictos políticos, de corrupción, sociales o bélicos internos o con otros países, que puedan poner en peligro la estabilidad económica del país o se pueda afectar directa o indirectamente las operaciones financieras de la entidad realizadas en él.</w:t>
      </w:r>
    </w:p>
    <w:p w14:paraId="1F9E9A97" w14:textId="3CC1C651" w:rsidR="001E7B10" w:rsidRDefault="001E7B10" w:rsidP="001E7B10">
      <w:pPr>
        <w:spacing w:after="0"/>
        <w:jc w:val="both"/>
        <w:rPr>
          <w:rFonts w:ascii="Verdana" w:hAnsi="Verdana"/>
          <w:sz w:val="20"/>
          <w:szCs w:val="20"/>
        </w:rPr>
      </w:pPr>
      <w:r w:rsidRPr="00DF2592">
        <w:rPr>
          <w:rFonts w:ascii="Verdana" w:hAnsi="Verdana"/>
          <w:sz w:val="20"/>
          <w:szCs w:val="20"/>
        </w:rPr>
        <w:t>1.1.2.</w:t>
      </w:r>
      <w:r>
        <w:rPr>
          <w:rFonts w:ascii="Verdana" w:hAnsi="Verdana"/>
          <w:sz w:val="20"/>
          <w:szCs w:val="20"/>
        </w:rPr>
        <w:t>21</w:t>
      </w:r>
      <w:r w:rsidR="00BB3250">
        <w:rPr>
          <w:rFonts w:ascii="Verdana" w:hAnsi="Verdana"/>
          <w:sz w:val="20"/>
          <w:szCs w:val="20"/>
        </w:rPr>
        <w:t>3</w:t>
      </w:r>
      <w:r w:rsidRPr="00DF2592">
        <w:rPr>
          <w:rFonts w:ascii="Verdana" w:hAnsi="Verdana"/>
          <w:sz w:val="20"/>
          <w:szCs w:val="20"/>
        </w:rPr>
        <w:t>.</w:t>
      </w:r>
    </w:p>
    <w:p w14:paraId="666A1A50" w14:textId="42F79586" w:rsidR="00B354BF" w:rsidRPr="008D1A73" w:rsidRDefault="007E3E6A" w:rsidP="00B354BF">
      <w:pPr>
        <w:jc w:val="both"/>
        <w:rPr>
          <w:rFonts w:ascii="Verdana" w:hAnsi="Verdana"/>
          <w:sz w:val="20"/>
          <w:szCs w:val="20"/>
        </w:rPr>
      </w:pPr>
      <w:r w:rsidRPr="007E3E6A">
        <w:rPr>
          <w:rFonts w:ascii="Verdana" w:hAnsi="Verdana"/>
          <w:sz w:val="20"/>
          <w:szCs w:val="20"/>
        </w:rPr>
        <w:t>También se podrá incluir un análisis sobre el cumplimiento de las regulaciones establecidas en el sistema financiero del país receptor de la inversión respecto de los estándares internacionales prudenciales</w:t>
      </w:r>
      <w:r w:rsidR="00B354BF">
        <w:rPr>
          <w:rFonts w:ascii="Verdana" w:hAnsi="Verdana"/>
          <w:sz w:val="20"/>
          <w:szCs w:val="20"/>
        </w:rPr>
        <w:t>.</w:t>
      </w:r>
    </w:p>
    <w:p w14:paraId="0F805CC3" w14:textId="0FB5B869" w:rsidR="00B354BF" w:rsidRPr="009852C8" w:rsidRDefault="00896711" w:rsidP="00E24CB1">
      <w:pPr>
        <w:pStyle w:val="Prrafodelista"/>
        <w:numPr>
          <w:ilvl w:val="1"/>
          <w:numId w:val="6"/>
        </w:numPr>
        <w:ind w:left="851" w:hanging="284"/>
        <w:jc w:val="both"/>
        <w:rPr>
          <w:rFonts w:ascii="Verdana" w:hAnsi="Verdana"/>
          <w:b/>
          <w:bCs/>
          <w:sz w:val="20"/>
          <w:szCs w:val="20"/>
        </w:rPr>
      </w:pPr>
      <w:r>
        <w:rPr>
          <w:rFonts w:ascii="Verdana" w:hAnsi="Verdana"/>
          <w:b/>
          <w:bCs/>
          <w:sz w:val="20"/>
          <w:szCs w:val="20"/>
        </w:rPr>
        <w:t>Riesgos naturale</w:t>
      </w:r>
      <w:r w:rsidR="00BB3250">
        <w:rPr>
          <w:rFonts w:ascii="Verdana" w:hAnsi="Verdana"/>
          <w:b/>
          <w:bCs/>
          <w:sz w:val="20"/>
          <w:szCs w:val="20"/>
        </w:rPr>
        <w:t>s</w:t>
      </w:r>
    </w:p>
    <w:p w14:paraId="4A735551" w14:textId="23E65A14" w:rsidR="00B354BF" w:rsidRPr="00DF2592" w:rsidRDefault="00B354BF" w:rsidP="00B354BF">
      <w:pPr>
        <w:spacing w:after="0"/>
        <w:jc w:val="both"/>
        <w:rPr>
          <w:rFonts w:ascii="Verdana" w:hAnsi="Verdana"/>
          <w:sz w:val="20"/>
          <w:szCs w:val="20"/>
        </w:rPr>
      </w:pPr>
      <w:r w:rsidRPr="00DF2592">
        <w:rPr>
          <w:rFonts w:ascii="Verdana" w:hAnsi="Verdana"/>
          <w:sz w:val="20"/>
          <w:szCs w:val="20"/>
        </w:rPr>
        <w:t>1.1.2.</w:t>
      </w:r>
      <w:r>
        <w:rPr>
          <w:rFonts w:ascii="Verdana" w:hAnsi="Verdana"/>
          <w:sz w:val="20"/>
          <w:szCs w:val="20"/>
        </w:rPr>
        <w:t>21</w:t>
      </w:r>
      <w:r w:rsidR="00BB3250">
        <w:rPr>
          <w:rFonts w:ascii="Verdana" w:hAnsi="Verdana"/>
          <w:sz w:val="20"/>
          <w:szCs w:val="20"/>
        </w:rPr>
        <w:t>4</w:t>
      </w:r>
      <w:r w:rsidRPr="00DF2592">
        <w:rPr>
          <w:rFonts w:ascii="Verdana" w:hAnsi="Verdana"/>
          <w:sz w:val="20"/>
          <w:szCs w:val="20"/>
        </w:rPr>
        <w:t>.</w:t>
      </w:r>
    </w:p>
    <w:p w14:paraId="7F7D82CB" w14:textId="77777777" w:rsidR="00162914" w:rsidRPr="008D1A73" w:rsidRDefault="00B354BF" w:rsidP="00162914">
      <w:pPr>
        <w:jc w:val="both"/>
        <w:rPr>
          <w:rFonts w:ascii="Verdana" w:hAnsi="Verdana"/>
          <w:sz w:val="20"/>
          <w:szCs w:val="20"/>
        </w:rPr>
      </w:pPr>
      <w:r>
        <w:rPr>
          <w:rFonts w:ascii="Verdana" w:hAnsi="Verdana"/>
          <w:sz w:val="20"/>
          <w:szCs w:val="20"/>
        </w:rPr>
        <w:t>S</w:t>
      </w:r>
      <w:r w:rsidRPr="001E7B10">
        <w:rPr>
          <w:rFonts w:ascii="Verdana" w:hAnsi="Verdana"/>
          <w:sz w:val="20"/>
          <w:szCs w:val="20"/>
        </w:rPr>
        <w:t xml:space="preserve">e </w:t>
      </w:r>
      <w:r w:rsidR="00953816" w:rsidRPr="00953816">
        <w:rPr>
          <w:rFonts w:ascii="Verdana" w:hAnsi="Verdana"/>
          <w:sz w:val="20"/>
          <w:szCs w:val="20"/>
        </w:rPr>
        <w:t>debe considerar el análisis del riesgo al que se encuentran expuestas las inversiones en el exterior por la posible ocurrencia de fenómenos naturales tales como terremotos, huracanes, inundaciones, entre otros, que pueden afectar a los países receptores de las operaciones de la entidad y como consecuencia incidir en el valor de la inversión</w:t>
      </w:r>
      <w:r w:rsidR="00162914">
        <w:rPr>
          <w:rFonts w:ascii="Verdana" w:hAnsi="Verdana"/>
          <w:sz w:val="20"/>
          <w:szCs w:val="20"/>
        </w:rPr>
        <w:t>.</w:t>
      </w:r>
    </w:p>
    <w:p w14:paraId="0D0F98FD" w14:textId="75657CAE" w:rsidR="00162914" w:rsidRPr="009852C8" w:rsidRDefault="00B85242" w:rsidP="00E24CB1">
      <w:pPr>
        <w:pStyle w:val="Prrafodelista"/>
        <w:numPr>
          <w:ilvl w:val="1"/>
          <w:numId w:val="6"/>
        </w:numPr>
        <w:ind w:left="851" w:hanging="284"/>
        <w:jc w:val="both"/>
        <w:rPr>
          <w:rFonts w:ascii="Verdana" w:hAnsi="Verdana"/>
          <w:b/>
          <w:bCs/>
          <w:sz w:val="20"/>
          <w:szCs w:val="20"/>
        </w:rPr>
      </w:pPr>
      <w:r>
        <w:rPr>
          <w:rFonts w:ascii="Verdana" w:hAnsi="Verdana"/>
          <w:b/>
          <w:bCs/>
          <w:sz w:val="20"/>
          <w:szCs w:val="20"/>
        </w:rPr>
        <w:t>Otros factores</w:t>
      </w:r>
    </w:p>
    <w:p w14:paraId="2A6CE379" w14:textId="702D55C7" w:rsidR="00162914" w:rsidRPr="00DF2592" w:rsidRDefault="00162914" w:rsidP="00162914">
      <w:pPr>
        <w:spacing w:after="0"/>
        <w:jc w:val="both"/>
        <w:rPr>
          <w:rFonts w:ascii="Verdana" w:hAnsi="Verdana"/>
          <w:sz w:val="20"/>
          <w:szCs w:val="20"/>
        </w:rPr>
      </w:pPr>
      <w:r w:rsidRPr="00DF2592">
        <w:rPr>
          <w:rFonts w:ascii="Verdana" w:hAnsi="Verdana"/>
          <w:sz w:val="20"/>
          <w:szCs w:val="20"/>
        </w:rPr>
        <w:t>1.1.2.</w:t>
      </w:r>
      <w:r>
        <w:rPr>
          <w:rFonts w:ascii="Verdana" w:hAnsi="Verdana"/>
          <w:sz w:val="20"/>
          <w:szCs w:val="20"/>
        </w:rPr>
        <w:t>21</w:t>
      </w:r>
      <w:r w:rsidR="004917CD">
        <w:rPr>
          <w:rFonts w:ascii="Verdana" w:hAnsi="Verdana"/>
          <w:sz w:val="20"/>
          <w:szCs w:val="20"/>
        </w:rPr>
        <w:t>5</w:t>
      </w:r>
      <w:r w:rsidRPr="00DF2592">
        <w:rPr>
          <w:rFonts w:ascii="Verdana" w:hAnsi="Verdana"/>
          <w:sz w:val="20"/>
          <w:szCs w:val="20"/>
        </w:rPr>
        <w:t>.</w:t>
      </w:r>
    </w:p>
    <w:p w14:paraId="755CBC13" w14:textId="1220A78E" w:rsidR="00162914" w:rsidRDefault="004917CD" w:rsidP="004917CD">
      <w:pPr>
        <w:jc w:val="both"/>
        <w:rPr>
          <w:rFonts w:ascii="Verdana" w:hAnsi="Verdana"/>
          <w:sz w:val="20"/>
          <w:szCs w:val="20"/>
        </w:rPr>
      </w:pPr>
      <w:r w:rsidRPr="004917CD">
        <w:rPr>
          <w:rFonts w:ascii="Verdana" w:hAnsi="Verdana"/>
          <w:sz w:val="20"/>
          <w:szCs w:val="20"/>
        </w:rPr>
        <w:t>Se debe considerar en el análisis aquellos factores que impactan las relaciones crediticias de los países receptores de la operación financiera con la banca privada o multilateral, así como las restricciones que existan a las transacciones financieras internacionales.</w:t>
      </w:r>
    </w:p>
    <w:p w14:paraId="02BEC104" w14:textId="48758070" w:rsidR="00953816" w:rsidRPr="00DF2592" w:rsidRDefault="00953816" w:rsidP="00953816">
      <w:pPr>
        <w:spacing w:after="0"/>
        <w:jc w:val="both"/>
        <w:rPr>
          <w:rFonts w:ascii="Verdana" w:hAnsi="Verdana"/>
          <w:sz w:val="20"/>
          <w:szCs w:val="20"/>
        </w:rPr>
      </w:pPr>
      <w:r w:rsidRPr="00DF2592">
        <w:rPr>
          <w:rFonts w:ascii="Verdana" w:hAnsi="Verdana"/>
          <w:sz w:val="20"/>
          <w:szCs w:val="20"/>
        </w:rPr>
        <w:t>1.1.2.</w:t>
      </w:r>
      <w:r>
        <w:rPr>
          <w:rFonts w:ascii="Verdana" w:hAnsi="Verdana"/>
          <w:sz w:val="20"/>
          <w:szCs w:val="20"/>
        </w:rPr>
        <w:t>21</w:t>
      </w:r>
      <w:r w:rsidR="004917CD">
        <w:rPr>
          <w:rFonts w:ascii="Verdana" w:hAnsi="Verdana"/>
          <w:sz w:val="20"/>
          <w:szCs w:val="20"/>
        </w:rPr>
        <w:t>6</w:t>
      </w:r>
      <w:r w:rsidRPr="00DF2592">
        <w:rPr>
          <w:rFonts w:ascii="Verdana" w:hAnsi="Verdana"/>
          <w:sz w:val="20"/>
          <w:szCs w:val="20"/>
        </w:rPr>
        <w:t>.</w:t>
      </w:r>
    </w:p>
    <w:p w14:paraId="5E77CAFC" w14:textId="058B6CD7" w:rsidR="001048C3" w:rsidRDefault="000339D3" w:rsidP="001048C3">
      <w:pPr>
        <w:jc w:val="both"/>
        <w:rPr>
          <w:rFonts w:ascii="Verdana" w:hAnsi="Verdana"/>
          <w:sz w:val="20"/>
          <w:szCs w:val="20"/>
        </w:rPr>
      </w:pPr>
      <w:r w:rsidRPr="000339D3">
        <w:rPr>
          <w:rFonts w:ascii="Verdana" w:hAnsi="Verdana"/>
          <w:sz w:val="20"/>
          <w:szCs w:val="20"/>
        </w:rPr>
        <w:t>Adicionalmente, el análisis debe incluir los demás indicadores que la entidad considere de acuerdo con las condiciones particulares de cada país y los cuales deben ser incorporados para realizar una adecuada y amplia evaluación del riesgo.</w:t>
      </w:r>
    </w:p>
    <w:p w14:paraId="34B308FA" w14:textId="405D4927" w:rsidR="001048C3" w:rsidRPr="00732E97" w:rsidRDefault="001048C3" w:rsidP="001048C3">
      <w:pPr>
        <w:pStyle w:val="Prrafodelista"/>
        <w:numPr>
          <w:ilvl w:val="0"/>
          <w:numId w:val="2"/>
        </w:numPr>
        <w:ind w:left="284" w:hanging="284"/>
        <w:jc w:val="both"/>
        <w:rPr>
          <w:rFonts w:ascii="Verdana" w:hAnsi="Verdana"/>
          <w:b/>
          <w:bCs/>
          <w:sz w:val="20"/>
          <w:szCs w:val="20"/>
        </w:rPr>
      </w:pPr>
      <w:r>
        <w:rPr>
          <w:rFonts w:ascii="Verdana" w:hAnsi="Verdana"/>
          <w:b/>
          <w:bCs/>
          <w:sz w:val="20"/>
          <w:szCs w:val="20"/>
        </w:rPr>
        <w:t>Pruebas de estrés</w:t>
      </w:r>
    </w:p>
    <w:p w14:paraId="536C3A15" w14:textId="3D4EC3CD" w:rsidR="001048C3" w:rsidRPr="0086035E" w:rsidRDefault="001048C3" w:rsidP="001048C3">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DF20FA">
        <w:rPr>
          <w:rFonts w:ascii="Verdana" w:hAnsi="Verdana"/>
          <w:sz w:val="20"/>
          <w:szCs w:val="20"/>
        </w:rPr>
        <w:t>17</w:t>
      </w:r>
      <w:r w:rsidRPr="0086035E">
        <w:rPr>
          <w:rFonts w:ascii="Verdana" w:hAnsi="Verdana"/>
          <w:sz w:val="20"/>
          <w:szCs w:val="20"/>
        </w:rPr>
        <w:t>.</w:t>
      </w:r>
    </w:p>
    <w:p w14:paraId="5FEBC6FA" w14:textId="2DF048B4" w:rsidR="00AC3CA2" w:rsidRDefault="00DF20FA" w:rsidP="00AC3CA2">
      <w:pPr>
        <w:jc w:val="both"/>
        <w:rPr>
          <w:rFonts w:ascii="Verdana" w:hAnsi="Verdana"/>
          <w:sz w:val="20"/>
          <w:szCs w:val="20"/>
        </w:rPr>
      </w:pPr>
      <w:r w:rsidRPr="00DF20FA">
        <w:rPr>
          <w:rFonts w:ascii="Verdana" w:hAnsi="Verdana"/>
          <w:sz w:val="20"/>
          <w:szCs w:val="20"/>
        </w:rPr>
        <w:t>La entidad debe realizar pruebas de estrés como mínimo anualmente que le permitan evaluar la resiliencia ante factores de riesgo que exacerben su exposición al riesgo país. No obstante, ante eventos que por su persistencia y severidad generen un deterioro significativo en las condiciones económicas y/o políticas del país receptor de la inversión, la entidad debe incrementar la frecuencia de estos ejercicios.</w:t>
      </w:r>
      <w:r w:rsidR="00AC3CA2">
        <w:rPr>
          <w:rFonts w:ascii="Verdana" w:hAnsi="Verdana"/>
          <w:sz w:val="20"/>
          <w:szCs w:val="20"/>
        </w:rPr>
        <w:t xml:space="preserve"> </w:t>
      </w:r>
      <w:r w:rsidR="00AC3CA2" w:rsidRPr="00AC3CA2">
        <w:rPr>
          <w:rFonts w:ascii="Verdana" w:hAnsi="Verdana"/>
          <w:sz w:val="20"/>
          <w:szCs w:val="20"/>
        </w:rPr>
        <w:t xml:space="preserve">Las pruebas de estrés deben considerar los lineamientos previstos en el </w:t>
      </w:r>
      <w:r w:rsidR="00780CE0">
        <w:rPr>
          <w:rFonts w:ascii="Verdana" w:hAnsi="Verdana"/>
          <w:sz w:val="20"/>
          <w:szCs w:val="20"/>
        </w:rPr>
        <w:t>c</w:t>
      </w:r>
      <w:r w:rsidR="00AC3CA2" w:rsidRPr="00AC3CA2">
        <w:rPr>
          <w:rFonts w:ascii="Verdana" w:hAnsi="Verdana"/>
          <w:sz w:val="20"/>
          <w:szCs w:val="20"/>
        </w:rPr>
        <w:t xml:space="preserve">apítulo </w:t>
      </w:r>
      <w:r w:rsidR="00780CE0">
        <w:rPr>
          <w:rFonts w:ascii="Verdana" w:hAnsi="Verdana"/>
          <w:sz w:val="20"/>
          <w:szCs w:val="20"/>
        </w:rPr>
        <w:t xml:space="preserve">9 de la parte 2 de la </w:t>
      </w:r>
      <w:r w:rsidR="00F5486D">
        <w:rPr>
          <w:rFonts w:ascii="Verdana" w:hAnsi="Verdana"/>
          <w:sz w:val="20"/>
          <w:szCs w:val="20"/>
        </w:rPr>
        <w:t>CBF</w:t>
      </w:r>
      <w:r w:rsidR="00780CE0">
        <w:rPr>
          <w:rFonts w:ascii="Verdana" w:hAnsi="Verdana"/>
          <w:sz w:val="20"/>
          <w:szCs w:val="20"/>
        </w:rPr>
        <w:t>.</w:t>
      </w:r>
    </w:p>
    <w:p w14:paraId="79796182" w14:textId="576DEE78" w:rsidR="00775BB8" w:rsidRPr="0086035E" w:rsidRDefault="00775BB8" w:rsidP="00775BB8">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21</w:t>
      </w:r>
      <w:r w:rsidR="006129BB">
        <w:rPr>
          <w:rFonts w:ascii="Verdana" w:hAnsi="Verdana"/>
          <w:sz w:val="20"/>
          <w:szCs w:val="20"/>
        </w:rPr>
        <w:t>8</w:t>
      </w:r>
      <w:r w:rsidRPr="0086035E">
        <w:rPr>
          <w:rFonts w:ascii="Verdana" w:hAnsi="Verdana"/>
          <w:sz w:val="20"/>
          <w:szCs w:val="20"/>
        </w:rPr>
        <w:t>.</w:t>
      </w:r>
    </w:p>
    <w:p w14:paraId="1B1CC7B7" w14:textId="60095949" w:rsidR="00775BB8" w:rsidRDefault="00775BB8" w:rsidP="00AC3CA2">
      <w:pPr>
        <w:jc w:val="both"/>
        <w:rPr>
          <w:rFonts w:ascii="Verdana" w:hAnsi="Verdana"/>
          <w:sz w:val="20"/>
          <w:szCs w:val="20"/>
        </w:rPr>
      </w:pPr>
      <w:r w:rsidRPr="00775BB8">
        <w:rPr>
          <w:rFonts w:ascii="Verdana" w:hAnsi="Verdana"/>
          <w:sz w:val="20"/>
          <w:szCs w:val="20"/>
        </w:rPr>
        <w:t xml:space="preserve">Las pruebas de estrés deben considerar escenarios en los que movimientos adversos en los indicadores económicos, de mercado, sociales y/o políticos que se utilizan para realizar el análisis base y complementario de que tratan los </w:t>
      </w:r>
      <w:r w:rsidR="008C6C7B">
        <w:rPr>
          <w:rFonts w:ascii="Verdana" w:hAnsi="Verdana"/>
          <w:sz w:val="20"/>
          <w:szCs w:val="20"/>
        </w:rPr>
        <w:t>párrafos 1.1.2.209. y 1.1.2.210.</w:t>
      </w:r>
      <w:r w:rsidRPr="00775BB8">
        <w:rPr>
          <w:rFonts w:ascii="Verdana" w:hAnsi="Verdana"/>
          <w:sz w:val="20"/>
          <w:szCs w:val="20"/>
        </w:rPr>
        <w:t>, puedan afectar el valor de la operación en el exterior y en consecuencia deteriorar la fortaleza financiera de la entidad.</w:t>
      </w:r>
    </w:p>
    <w:p w14:paraId="42BBF644" w14:textId="6BA0D437" w:rsidR="004C60DC" w:rsidRPr="0086035E" w:rsidRDefault="004C60DC" w:rsidP="004C60DC">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21</w:t>
      </w:r>
      <w:r w:rsidR="006129BB">
        <w:rPr>
          <w:rFonts w:ascii="Verdana" w:hAnsi="Verdana"/>
          <w:sz w:val="20"/>
          <w:szCs w:val="20"/>
        </w:rPr>
        <w:t>9</w:t>
      </w:r>
      <w:r w:rsidRPr="0086035E">
        <w:rPr>
          <w:rFonts w:ascii="Verdana" w:hAnsi="Verdana"/>
          <w:sz w:val="20"/>
          <w:szCs w:val="20"/>
        </w:rPr>
        <w:t>.</w:t>
      </w:r>
    </w:p>
    <w:p w14:paraId="6D6A6D26" w14:textId="5B49582D" w:rsidR="004C60DC" w:rsidRDefault="004C60DC" w:rsidP="004C60DC">
      <w:pPr>
        <w:jc w:val="both"/>
        <w:rPr>
          <w:rFonts w:ascii="Verdana" w:hAnsi="Verdana"/>
          <w:sz w:val="20"/>
          <w:szCs w:val="20"/>
        </w:rPr>
      </w:pPr>
      <w:r w:rsidRPr="004C60DC">
        <w:rPr>
          <w:rFonts w:ascii="Verdana" w:hAnsi="Verdana"/>
          <w:sz w:val="20"/>
          <w:szCs w:val="20"/>
        </w:rPr>
        <w:t>La JD debe conocer oportunamente, hacer seguimiento y pronunciarse, en caso de ser necesario, respecto de los resultados de las pruebas de estrés e incorporarlos en su proceso de toma de decisiones con el fin de diseñar las acciones tendientes evitar pérdidas en el valor de las inversiones de la entidad ante escenarios adversos exacerbados por este riesgo.</w:t>
      </w:r>
    </w:p>
    <w:p w14:paraId="733D4686" w14:textId="469B1714" w:rsidR="00AC3CA2" w:rsidRPr="00732E97" w:rsidRDefault="00EE2440" w:rsidP="00AC3CA2">
      <w:pPr>
        <w:pStyle w:val="Prrafodelista"/>
        <w:numPr>
          <w:ilvl w:val="0"/>
          <w:numId w:val="2"/>
        </w:numPr>
        <w:ind w:left="284" w:hanging="284"/>
        <w:jc w:val="both"/>
        <w:rPr>
          <w:rFonts w:ascii="Verdana" w:hAnsi="Verdana"/>
          <w:b/>
          <w:bCs/>
          <w:sz w:val="20"/>
          <w:szCs w:val="20"/>
        </w:rPr>
      </w:pPr>
      <w:r>
        <w:rPr>
          <w:rFonts w:ascii="Verdana" w:hAnsi="Verdana"/>
          <w:b/>
          <w:bCs/>
          <w:sz w:val="20"/>
          <w:szCs w:val="20"/>
        </w:rPr>
        <w:lastRenderedPageBreak/>
        <w:t>Control</w:t>
      </w:r>
    </w:p>
    <w:p w14:paraId="10C77D7E" w14:textId="1C8BEC8B" w:rsidR="00AC3CA2" w:rsidRPr="0086035E" w:rsidRDefault="00AC3CA2" w:rsidP="00AC3CA2">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6129BB">
        <w:rPr>
          <w:rFonts w:ascii="Verdana" w:hAnsi="Verdana"/>
          <w:sz w:val="20"/>
          <w:szCs w:val="20"/>
        </w:rPr>
        <w:t>20</w:t>
      </w:r>
      <w:r w:rsidRPr="0086035E">
        <w:rPr>
          <w:rFonts w:ascii="Verdana" w:hAnsi="Verdana"/>
          <w:sz w:val="20"/>
          <w:szCs w:val="20"/>
        </w:rPr>
        <w:t>.</w:t>
      </w:r>
    </w:p>
    <w:p w14:paraId="4DFF5058" w14:textId="7EB20CB7" w:rsidR="00087208" w:rsidRDefault="00EE2440" w:rsidP="00AC3CA2">
      <w:pPr>
        <w:jc w:val="both"/>
        <w:rPr>
          <w:rFonts w:ascii="Verdana" w:hAnsi="Verdana"/>
          <w:sz w:val="20"/>
          <w:szCs w:val="20"/>
        </w:rPr>
      </w:pPr>
      <w:r w:rsidRPr="00EE2440">
        <w:rPr>
          <w:rFonts w:ascii="Verdana" w:hAnsi="Verdana"/>
          <w:sz w:val="20"/>
          <w:szCs w:val="20"/>
        </w:rPr>
        <w:t>La entidad debe tomar las medidas conducentes a mitigar la ocurrencia del riesgo país al que se ven expuestas sus operaciones financieras en el exterior, las cuales deben ser incorporadas dentro de la estructura de control y gestión de riesgos de la entidad.</w:t>
      </w:r>
    </w:p>
    <w:p w14:paraId="5AF743B3" w14:textId="149A99EB" w:rsidR="004D0F83" w:rsidRPr="0086035E" w:rsidRDefault="004D0F83" w:rsidP="004D0F83">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6129BB">
        <w:rPr>
          <w:rFonts w:ascii="Verdana" w:hAnsi="Verdana"/>
          <w:sz w:val="20"/>
          <w:szCs w:val="20"/>
        </w:rPr>
        <w:t>21</w:t>
      </w:r>
      <w:r w:rsidRPr="0086035E">
        <w:rPr>
          <w:rFonts w:ascii="Verdana" w:hAnsi="Verdana"/>
          <w:sz w:val="20"/>
          <w:szCs w:val="20"/>
        </w:rPr>
        <w:t>.</w:t>
      </w:r>
    </w:p>
    <w:p w14:paraId="30A96A6B" w14:textId="233F9C19" w:rsidR="00F26194" w:rsidRPr="00F26194" w:rsidRDefault="00F26194" w:rsidP="00F26194">
      <w:pPr>
        <w:jc w:val="both"/>
        <w:rPr>
          <w:rFonts w:ascii="Verdana" w:hAnsi="Verdana"/>
          <w:sz w:val="20"/>
          <w:szCs w:val="20"/>
        </w:rPr>
      </w:pPr>
      <w:r w:rsidRPr="00F26194">
        <w:rPr>
          <w:rFonts w:ascii="Verdana" w:hAnsi="Verdana"/>
          <w:sz w:val="20"/>
          <w:szCs w:val="20"/>
        </w:rPr>
        <w:t>Esta etapa debe cumplir con los siguientes requisitos mínimos:</w:t>
      </w:r>
    </w:p>
    <w:p w14:paraId="14FE10BF" w14:textId="77777777" w:rsidR="00F26194" w:rsidRDefault="00F26194" w:rsidP="001E60AA">
      <w:pPr>
        <w:pStyle w:val="Prrafodelista"/>
        <w:numPr>
          <w:ilvl w:val="0"/>
          <w:numId w:val="71"/>
        </w:numPr>
        <w:ind w:left="567" w:hanging="567"/>
        <w:jc w:val="both"/>
        <w:rPr>
          <w:rFonts w:ascii="Verdana" w:hAnsi="Verdana"/>
          <w:sz w:val="20"/>
          <w:szCs w:val="20"/>
        </w:rPr>
      </w:pPr>
      <w:r w:rsidRPr="00F26194">
        <w:rPr>
          <w:rFonts w:ascii="Verdana" w:hAnsi="Verdana"/>
          <w:sz w:val="20"/>
          <w:szCs w:val="20"/>
        </w:rPr>
        <w:t>Guardar proporción con el volumen y complejidad de las operaciones financieras desarrolladas por la entidad en el exterior, de forma tal que exista correspondencia entre el modelo, apetito de riesgo y el tipo de operaciones desarrolladas.</w:t>
      </w:r>
    </w:p>
    <w:p w14:paraId="1B5EEAAA" w14:textId="77777777" w:rsidR="00F26194" w:rsidRDefault="00F26194" w:rsidP="00F26194">
      <w:pPr>
        <w:pStyle w:val="Prrafodelista"/>
        <w:ind w:left="567"/>
        <w:jc w:val="both"/>
        <w:rPr>
          <w:rFonts w:ascii="Verdana" w:hAnsi="Verdana"/>
          <w:sz w:val="20"/>
          <w:szCs w:val="20"/>
        </w:rPr>
      </w:pPr>
    </w:p>
    <w:p w14:paraId="6B75FB89" w14:textId="71D534FE" w:rsidR="00F26194" w:rsidRPr="00F26194" w:rsidRDefault="00F26194" w:rsidP="001E60AA">
      <w:pPr>
        <w:pStyle w:val="Prrafodelista"/>
        <w:numPr>
          <w:ilvl w:val="0"/>
          <w:numId w:val="71"/>
        </w:numPr>
        <w:ind w:left="567" w:hanging="567"/>
        <w:jc w:val="both"/>
        <w:rPr>
          <w:rFonts w:ascii="Verdana" w:hAnsi="Verdana"/>
          <w:sz w:val="20"/>
          <w:szCs w:val="20"/>
        </w:rPr>
      </w:pPr>
      <w:r w:rsidRPr="00F26194">
        <w:rPr>
          <w:rFonts w:ascii="Verdana" w:hAnsi="Verdana"/>
          <w:sz w:val="20"/>
          <w:szCs w:val="20"/>
        </w:rPr>
        <w:t>Considerar el plan de negocio de la entidad, los mecanismos y procedimientos para la realización de las operaciones financieras, así como las condiciones económicas, sociales y políticas del país donde están localizadas.</w:t>
      </w:r>
    </w:p>
    <w:p w14:paraId="2A399B62" w14:textId="77777777" w:rsidR="00F26194" w:rsidRDefault="00F26194" w:rsidP="00F26194">
      <w:pPr>
        <w:pStyle w:val="Prrafodelista"/>
        <w:ind w:left="567"/>
        <w:jc w:val="both"/>
        <w:rPr>
          <w:rFonts w:ascii="Verdana" w:hAnsi="Verdana"/>
          <w:sz w:val="20"/>
          <w:szCs w:val="20"/>
        </w:rPr>
      </w:pPr>
    </w:p>
    <w:p w14:paraId="1ACF8730" w14:textId="60E104C8" w:rsidR="00B856A6" w:rsidRDefault="00F26194" w:rsidP="001E60AA">
      <w:pPr>
        <w:pStyle w:val="Prrafodelista"/>
        <w:numPr>
          <w:ilvl w:val="0"/>
          <w:numId w:val="71"/>
        </w:numPr>
        <w:ind w:left="567" w:hanging="567"/>
        <w:jc w:val="both"/>
        <w:rPr>
          <w:rFonts w:ascii="Verdana" w:hAnsi="Verdana"/>
          <w:sz w:val="20"/>
          <w:szCs w:val="20"/>
        </w:rPr>
      </w:pPr>
      <w:r w:rsidRPr="00F26194">
        <w:rPr>
          <w:rFonts w:ascii="Verdana" w:hAnsi="Verdana"/>
          <w:sz w:val="20"/>
          <w:szCs w:val="20"/>
        </w:rPr>
        <w:t>Permitir el control de los niveles de exposición al riesgo país y de los límites establecidos por la entidad, así como adoptar las medidas para contrarrestar la exposición al riesgo país</w:t>
      </w:r>
      <w:r w:rsidR="00385CB3">
        <w:rPr>
          <w:rFonts w:ascii="Verdana" w:hAnsi="Verdana"/>
          <w:sz w:val="20"/>
          <w:szCs w:val="20"/>
        </w:rPr>
        <w:t>, i</w:t>
      </w:r>
      <w:r w:rsidRPr="00F26194">
        <w:rPr>
          <w:rFonts w:ascii="Verdana" w:hAnsi="Verdana"/>
          <w:sz w:val="20"/>
          <w:szCs w:val="20"/>
        </w:rPr>
        <w:t xml:space="preserve">ncluyendo las pruebas de estrés a las </w:t>
      </w:r>
      <w:r w:rsidRPr="00973080">
        <w:rPr>
          <w:rFonts w:ascii="Verdana" w:hAnsi="Verdana"/>
          <w:sz w:val="20"/>
          <w:szCs w:val="20"/>
        </w:rPr>
        <w:t>que se refiere</w:t>
      </w:r>
      <w:r w:rsidR="0085581F">
        <w:rPr>
          <w:rFonts w:ascii="Verdana" w:hAnsi="Verdana"/>
          <w:sz w:val="20"/>
          <w:szCs w:val="20"/>
        </w:rPr>
        <w:t>n</w:t>
      </w:r>
      <w:r w:rsidRPr="00973080">
        <w:rPr>
          <w:rFonts w:ascii="Verdana" w:hAnsi="Verdana"/>
          <w:sz w:val="20"/>
          <w:szCs w:val="20"/>
        </w:rPr>
        <w:t xml:space="preserve"> l</w:t>
      </w:r>
      <w:r w:rsidR="00624B43">
        <w:rPr>
          <w:rFonts w:ascii="Verdana" w:hAnsi="Verdana"/>
          <w:sz w:val="20"/>
          <w:szCs w:val="20"/>
        </w:rPr>
        <w:t>os</w:t>
      </w:r>
      <w:r w:rsidRPr="00973080">
        <w:rPr>
          <w:rFonts w:ascii="Verdana" w:hAnsi="Verdana"/>
          <w:sz w:val="20"/>
          <w:szCs w:val="20"/>
        </w:rPr>
        <w:t xml:space="preserve"> </w:t>
      </w:r>
      <w:r w:rsidR="00973080">
        <w:rPr>
          <w:rFonts w:ascii="Verdana" w:hAnsi="Verdana"/>
          <w:sz w:val="20"/>
          <w:szCs w:val="20"/>
        </w:rPr>
        <w:t>párrafo</w:t>
      </w:r>
      <w:r w:rsidR="0085581F">
        <w:rPr>
          <w:rFonts w:ascii="Verdana" w:hAnsi="Verdana"/>
          <w:sz w:val="20"/>
          <w:szCs w:val="20"/>
        </w:rPr>
        <w:t xml:space="preserve">s </w:t>
      </w:r>
      <w:r w:rsidR="0085581F" w:rsidRPr="0086035E">
        <w:rPr>
          <w:rFonts w:ascii="Verdana" w:hAnsi="Verdana"/>
          <w:sz w:val="20"/>
          <w:szCs w:val="20"/>
        </w:rPr>
        <w:t>1.1.</w:t>
      </w:r>
      <w:r w:rsidR="0085581F">
        <w:rPr>
          <w:rFonts w:ascii="Verdana" w:hAnsi="Verdana"/>
          <w:sz w:val="20"/>
          <w:szCs w:val="20"/>
        </w:rPr>
        <w:t>2</w:t>
      </w:r>
      <w:r w:rsidR="0085581F" w:rsidRPr="0086035E">
        <w:rPr>
          <w:rFonts w:ascii="Verdana" w:hAnsi="Verdana"/>
          <w:sz w:val="20"/>
          <w:szCs w:val="20"/>
        </w:rPr>
        <w:t>.</w:t>
      </w:r>
      <w:r w:rsidR="0085581F">
        <w:rPr>
          <w:rFonts w:ascii="Verdana" w:hAnsi="Verdana"/>
          <w:sz w:val="20"/>
          <w:szCs w:val="20"/>
        </w:rPr>
        <w:t>217</w:t>
      </w:r>
      <w:r w:rsidR="0085581F" w:rsidRPr="0086035E">
        <w:rPr>
          <w:rFonts w:ascii="Verdana" w:hAnsi="Verdana"/>
          <w:sz w:val="20"/>
          <w:szCs w:val="20"/>
        </w:rPr>
        <w:t>.</w:t>
      </w:r>
      <w:r w:rsidR="0085581F">
        <w:rPr>
          <w:rFonts w:ascii="Verdana" w:hAnsi="Verdana"/>
          <w:sz w:val="20"/>
          <w:szCs w:val="20"/>
        </w:rPr>
        <w:t xml:space="preserve"> al</w:t>
      </w:r>
      <w:r w:rsidR="00973080">
        <w:rPr>
          <w:rFonts w:ascii="Verdana" w:hAnsi="Verdana"/>
          <w:sz w:val="20"/>
          <w:szCs w:val="20"/>
        </w:rPr>
        <w:t xml:space="preserve"> 1.1.2.219.</w:t>
      </w:r>
    </w:p>
    <w:p w14:paraId="2681F1DD" w14:textId="77777777" w:rsidR="00B856A6" w:rsidRPr="00B856A6" w:rsidRDefault="00B856A6" w:rsidP="00B856A6">
      <w:pPr>
        <w:pStyle w:val="Prrafodelista"/>
        <w:rPr>
          <w:rFonts w:ascii="Verdana" w:hAnsi="Verdana"/>
          <w:sz w:val="20"/>
          <w:szCs w:val="20"/>
        </w:rPr>
      </w:pPr>
    </w:p>
    <w:p w14:paraId="1590D842" w14:textId="426AEB3E" w:rsidR="00B856A6" w:rsidRPr="00B856A6" w:rsidRDefault="00F26194" w:rsidP="001E60AA">
      <w:pPr>
        <w:pStyle w:val="Prrafodelista"/>
        <w:numPr>
          <w:ilvl w:val="0"/>
          <w:numId w:val="71"/>
        </w:numPr>
        <w:ind w:left="567" w:hanging="567"/>
        <w:jc w:val="both"/>
        <w:rPr>
          <w:rFonts w:ascii="Verdana" w:hAnsi="Verdana"/>
          <w:sz w:val="20"/>
          <w:szCs w:val="20"/>
        </w:rPr>
      </w:pPr>
      <w:r w:rsidRPr="00B856A6">
        <w:rPr>
          <w:rFonts w:ascii="Verdana" w:hAnsi="Verdana"/>
          <w:sz w:val="20"/>
          <w:szCs w:val="20"/>
        </w:rPr>
        <w:t>Definir los mecanismos, procedimientos y órganos de administración responsables del cumplimiento de los límites por riesgo país</w:t>
      </w:r>
      <w:r w:rsidR="00B856A6" w:rsidRPr="00B856A6">
        <w:rPr>
          <w:rFonts w:ascii="Verdana" w:hAnsi="Verdana"/>
          <w:sz w:val="20"/>
          <w:szCs w:val="20"/>
        </w:rPr>
        <w:t>.</w:t>
      </w:r>
    </w:p>
    <w:p w14:paraId="7FF96D54" w14:textId="77777777" w:rsidR="00B856A6" w:rsidRDefault="00B856A6" w:rsidP="00B856A6">
      <w:pPr>
        <w:pStyle w:val="Prrafodelista"/>
        <w:ind w:left="284"/>
        <w:jc w:val="both"/>
        <w:rPr>
          <w:rFonts w:ascii="Verdana" w:hAnsi="Verdana"/>
          <w:b/>
          <w:bCs/>
          <w:sz w:val="20"/>
          <w:szCs w:val="20"/>
        </w:rPr>
      </w:pPr>
    </w:p>
    <w:p w14:paraId="70C517EB" w14:textId="647778B4" w:rsidR="00B856A6" w:rsidRPr="00732E97" w:rsidRDefault="00720653" w:rsidP="00B856A6">
      <w:pPr>
        <w:pStyle w:val="Prrafodelista"/>
        <w:numPr>
          <w:ilvl w:val="0"/>
          <w:numId w:val="2"/>
        </w:numPr>
        <w:ind w:left="284" w:hanging="284"/>
        <w:jc w:val="both"/>
        <w:rPr>
          <w:rFonts w:ascii="Verdana" w:hAnsi="Verdana"/>
          <w:b/>
          <w:bCs/>
          <w:sz w:val="20"/>
          <w:szCs w:val="20"/>
        </w:rPr>
      </w:pPr>
      <w:r>
        <w:rPr>
          <w:rFonts w:ascii="Verdana" w:hAnsi="Verdana"/>
          <w:b/>
          <w:bCs/>
          <w:sz w:val="20"/>
          <w:szCs w:val="20"/>
        </w:rPr>
        <w:t>Monitoreo</w:t>
      </w:r>
    </w:p>
    <w:p w14:paraId="54337833" w14:textId="11438703" w:rsidR="00B856A6" w:rsidRPr="0086035E" w:rsidRDefault="00B856A6" w:rsidP="00B856A6">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22</w:t>
      </w:r>
      <w:r w:rsidR="006129BB">
        <w:rPr>
          <w:rFonts w:ascii="Verdana" w:hAnsi="Verdana"/>
          <w:sz w:val="20"/>
          <w:szCs w:val="20"/>
        </w:rPr>
        <w:t>2</w:t>
      </w:r>
      <w:r w:rsidRPr="0086035E">
        <w:rPr>
          <w:rFonts w:ascii="Verdana" w:hAnsi="Verdana"/>
          <w:sz w:val="20"/>
          <w:szCs w:val="20"/>
        </w:rPr>
        <w:t>.</w:t>
      </w:r>
    </w:p>
    <w:p w14:paraId="5FF47624" w14:textId="518C02FA" w:rsidR="00087208" w:rsidRDefault="00650A24" w:rsidP="00B856A6">
      <w:pPr>
        <w:jc w:val="both"/>
        <w:rPr>
          <w:rFonts w:ascii="Verdana" w:hAnsi="Verdana"/>
          <w:sz w:val="20"/>
          <w:szCs w:val="20"/>
        </w:rPr>
      </w:pPr>
      <w:r w:rsidRPr="00650A24">
        <w:rPr>
          <w:rFonts w:ascii="Verdana" w:hAnsi="Verdana"/>
          <w:sz w:val="20"/>
          <w:szCs w:val="20"/>
        </w:rPr>
        <w:t>Los lineamientos y procedimientos establecidos para la implementación de esta etapa deben permitir a la entidad llevar a cabo un seguimiento de su exposición al riesgo país. De esta manera, esta etapa debe, como mínimo</w:t>
      </w:r>
      <w:r>
        <w:rPr>
          <w:rFonts w:ascii="Verdana" w:hAnsi="Verdana"/>
          <w:sz w:val="20"/>
          <w:szCs w:val="20"/>
        </w:rPr>
        <w:t>:</w:t>
      </w:r>
    </w:p>
    <w:p w14:paraId="194FAC19" w14:textId="77777777" w:rsidR="00EF5BFD" w:rsidRDefault="00EF5BFD" w:rsidP="001E60AA">
      <w:pPr>
        <w:pStyle w:val="Prrafodelista"/>
        <w:numPr>
          <w:ilvl w:val="0"/>
          <w:numId w:val="72"/>
        </w:numPr>
        <w:ind w:left="567" w:hanging="567"/>
        <w:jc w:val="both"/>
        <w:rPr>
          <w:rFonts w:ascii="Verdana" w:hAnsi="Verdana"/>
          <w:sz w:val="20"/>
          <w:szCs w:val="20"/>
          <w:lang w:val="es-ES"/>
        </w:rPr>
      </w:pPr>
      <w:r w:rsidRPr="00EF5BFD">
        <w:rPr>
          <w:rFonts w:ascii="Verdana" w:hAnsi="Verdana"/>
          <w:sz w:val="20"/>
          <w:szCs w:val="20"/>
          <w:lang w:val="es-ES"/>
        </w:rPr>
        <w:t>Guardar correspondencia con el volumen, plan de negocio, apetito de riesgo y complejidad de las operaciones financieras desarrolladas por la entidad en el exterior.</w:t>
      </w:r>
    </w:p>
    <w:p w14:paraId="67DC46BF" w14:textId="77777777" w:rsidR="00EF5BFD" w:rsidRDefault="00EF5BFD" w:rsidP="00EF5BFD">
      <w:pPr>
        <w:pStyle w:val="Prrafodelista"/>
        <w:ind w:left="567"/>
        <w:jc w:val="both"/>
        <w:rPr>
          <w:rFonts w:ascii="Verdana" w:hAnsi="Verdana"/>
          <w:sz w:val="20"/>
          <w:szCs w:val="20"/>
          <w:lang w:val="es-ES"/>
        </w:rPr>
      </w:pPr>
    </w:p>
    <w:p w14:paraId="3815F1C6" w14:textId="77777777" w:rsidR="00EF5BFD" w:rsidRDefault="00EF5BFD" w:rsidP="001E60AA">
      <w:pPr>
        <w:pStyle w:val="Prrafodelista"/>
        <w:numPr>
          <w:ilvl w:val="0"/>
          <w:numId w:val="72"/>
        </w:numPr>
        <w:ind w:left="567" w:hanging="567"/>
        <w:jc w:val="both"/>
        <w:rPr>
          <w:rFonts w:ascii="Verdana" w:hAnsi="Verdana"/>
          <w:sz w:val="20"/>
          <w:szCs w:val="20"/>
          <w:lang w:val="es-ES"/>
        </w:rPr>
      </w:pPr>
      <w:r w:rsidRPr="00EF5BFD">
        <w:rPr>
          <w:rFonts w:ascii="Verdana" w:hAnsi="Verdana"/>
          <w:sz w:val="20"/>
          <w:szCs w:val="20"/>
          <w:lang w:val="es-ES"/>
        </w:rPr>
        <w:t>Realizar un seguimiento permanente a eventos económicos, sociales y/o políticos o de otra naturaleza que puedan generar un detrimento de la inversión en la entidad en el exterior.</w:t>
      </w:r>
    </w:p>
    <w:p w14:paraId="3CE90CC6" w14:textId="77777777" w:rsidR="00EF5BFD" w:rsidRPr="00EF5BFD" w:rsidRDefault="00EF5BFD" w:rsidP="00EF5BFD">
      <w:pPr>
        <w:pStyle w:val="Prrafodelista"/>
        <w:rPr>
          <w:rFonts w:ascii="Verdana" w:hAnsi="Verdana"/>
          <w:sz w:val="20"/>
          <w:szCs w:val="20"/>
          <w:lang w:val="es-ES"/>
        </w:rPr>
      </w:pPr>
    </w:p>
    <w:p w14:paraId="13D2EA62" w14:textId="77777777" w:rsidR="004D4D3F" w:rsidRDefault="00EF5BFD" w:rsidP="001E60AA">
      <w:pPr>
        <w:pStyle w:val="Prrafodelista"/>
        <w:numPr>
          <w:ilvl w:val="0"/>
          <w:numId w:val="72"/>
        </w:numPr>
        <w:ind w:left="567" w:hanging="567"/>
        <w:jc w:val="both"/>
        <w:rPr>
          <w:rFonts w:ascii="Verdana" w:hAnsi="Verdana"/>
          <w:sz w:val="20"/>
          <w:szCs w:val="20"/>
          <w:lang w:val="es-ES"/>
        </w:rPr>
      </w:pPr>
      <w:r w:rsidRPr="00EF5BFD">
        <w:rPr>
          <w:rFonts w:ascii="Verdana" w:hAnsi="Verdana"/>
          <w:sz w:val="20"/>
          <w:szCs w:val="20"/>
          <w:lang w:val="es-ES"/>
        </w:rPr>
        <w:t>Efectuar el seguimiento permanente de los niveles de exposición al riesgo país y de los límites generales y especiales establecidos por la entidad, según su estructura, características, operaciones autorizadas y atendiendo el apetito de riesgo de la entidad.</w:t>
      </w:r>
    </w:p>
    <w:p w14:paraId="1D7670D8" w14:textId="77777777" w:rsidR="004D4D3F" w:rsidRPr="004D4D3F" w:rsidRDefault="004D4D3F" w:rsidP="004D4D3F">
      <w:pPr>
        <w:pStyle w:val="Prrafodelista"/>
        <w:rPr>
          <w:rFonts w:ascii="Verdana" w:hAnsi="Verdana"/>
          <w:sz w:val="20"/>
          <w:szCs w:val="20"/>
          <w:lang w:val="es-ES"/>
        </w:rPr>
      </w:pPr>
    </w:p>
    <w:p w14:paraId="6FA1DA80" w14:textId="62B34E62" w:rsidR="004D4D3F" w:rsidRPr="004D4D3F" w:rsidRDefault="00EF5BFD" w:rsidP="001E60AA">
      <w:pPr>
        <w:pStyle w:val="Prrafodelista"/>
        <w:numPr>
          <w:ilvl w:val="0"/>
          <w:numId w:val="72"/>
        </w:numPr>
        <w:ind w:left="567" w:hanging="567"/>
        <w:jc w:val="both"/>
        <w:rPr>
          <w:rFonts w:ascii="Verdana" w:hAnsi="Verdana"/>
          <w:sz w:val="20"/>
          <w:szCs w:val="20"/>
          <w:lang w:val="es-ES"/>
        </w:rPr>
      </w:pPr>
      <w:r w:rsidRPr="004D4D3F">
        <w:rPr>
          <w:rFonts w:ascii="Verdana" w:hAnsi="Verdana"/>
          <w:sz w:val="20"/>
          <w:szCs w:val="20"/>
          <w:lang w:val="es-ES"/>
        </w:rPr>
        <w:t>Elaborar reportes gerenciales y de monitoreo del riesgo país, al menos semestralmente, que permitan a la entidad realizar un adecuado seguimiento y tomar decisiones para mitigar el nivel de exposición a este riesgo</w:t>
      </w:r>
      <w:r w:rsidR="004D4D3F" w:rsidRPr="004D4D3F">
        <w:rPr>
          <w:rFonts w:ascii="Verdana" w:hAnsi="Verdana"/>
          <w:sz w:val="20"/>
          <w:szCs w:val="20"/>
        </w:rPr>
        <w:t>.</w:t>
      </w:r>
    </w:p>
    <w:p w14:paraId="2F4844AE" w14:textId="5CE66436" w:rsidR="004D4D3F" w:rsidRPr="007735FE" w:rsidRDefault="004D4D3F" w:rsidP="004D4D3F">
      <w:pPr>
        <w:jc w:val="both"/>
        <w:rPr>
          <w:rFonts w:ascii="Verdana" w:hAnsi="Verdana"/>
          <w:b/>
          <w:bCs/>
          <w:sz w:val="20"/>
          <w:szCs w:val="20"/>
        </w:rPr>
      </w:pPr>
      <w:r>
        <w:rPr>
          <w:rFonts w:ascii="Verdana" w:hAnsi="Verdana"/>
          <w:b/>
          <w:bCs/>
          <w:sz w:val="20"/>
          <w:szCs w:val="20"/>
        </w:rPr>
        <w:t>Límites</w:t>
      </w:r>
    </w:p>
    <w:p w14:paraId="027F9B82" w14:textId="07D80FD6" w:rsidR="004D4D3F" w:rsidRPr="00443A04" w:rsidRDefault="004D4D3F" w:rsidP="004D4D3F">
      <w:pPr>
        <w:spacing w:after="0"/>
        <w:jc w:val="both"/>
        <w:rPr>
          <w:rFonts w:ascii="Verdana" w:hAnsi="Verdana"/>
          <w:sz w:val="20"/>
          <w:szCs w:val="20"/>
        </w:rPr>
      </w:pPr>
      <w:r>
        <w:rPr>
          <w:rFonts w:ascii="Verdana" w:hAnsi="Verdana"/>
          <w:sz w:val="20"/>
          <w:szCs w:val="20"/>
        </w:rPr>
        <w:t>1.1.2.2</w:t>
      </w:r>
      <w:r w:rsidR="00055D92">
        <w:rPr>
          <w:rFonts w:ascii="Verdana" w:hAnsi="Verdana"/>
          <w:sz w:val="20"/>
          <w:szCs w:val="20"/>
        </w:rPr>
        <w:t>2</w:t>
      </w:r>
      <w:r w:rsidR="006129BB">
        <w:rPr>
          <w:rFonts w:ascii="Verdana" w:hAnsi="Verdana"/>
          <w:sz w:val="20"/>
          <w:szCs w:val="20"/>
        </w:rPr>
        <w:t>3</w:t>
      </w:r>
      <w:r>
        <w:rPr>
          <w:rFonts w:ascii="Verdana" w:hAnsi="Verdana"/>
          <w:sz w:val="20"/>
          <w:szCs w:val="20"/>
        </w:rPr>
        <w:t>.</w:t>
      </w:r>
    </w:p>
    <w:p w14:paraId="06675E06" w14:textId="77777777" w:rsidR="001E60AA" w:rsidRDefault="00055D92" w:rsidP="00055D92">
      <w:pPr>
        <w:jc w:val="both"/>
        <w:rPr>
          <w:rFonts w:ascii="Verdana" w:hAnsi="Verdana"/>
          <w:sz w:val="20"/>
          <w:szCs w:val="20"/>
        </w:rPr>
      </w:pPr>
      <w:r w:rsidRPr="00055D92">
        <w:rPr>
          <w:rFonts w:ascii="Verdana" w:hAnsi="Verdana"/>
          <w:sz w:val="20"/>
          <w:szCs w:val="20"/>
        </w:rPr>
        <w:t xml:space="preserve">Para la adecuada gestión del riesgo país, la entidad debe establecer límites consistentes con su plan de negocio, apetito de riesgo, fortaleza financiera e importancia sistémica, así como con las economías y mercados en donde esta </w:t>
      </w:r>
      <w:proofErr w:type="spellStart"/>
      <w:r w:rsidRPr="00055D92">
        <w:rPr>
          <w:rFonts w:ascii="Verdana" w:hAnsi="Verdana"/>
          <w:sz w:val="20"/>
          <w:szCs w:val="20"/>
        </w:rPr>
        <w:t>opera</w:t>
      </w:r>
      <w:proofErr w:type="spellEnd"/>
      <w:r w:rsidRPr="00055D92">
        <w:rPr>
          <w:rFonts w:ascii="Verdana" w:hAnsi="Verdana"/>
          <w:sz w:val="20"/>
          <w:szCs w:val="20"/>
        </w:rPr>
        <w:t>. Los límites deben permitirle a la entidad, controlar exposiciones que excedan sus niveles de tolerancia al riesgo. En este sentido, debe definir como mínimo:</w:t>
      </w:r>
      <w:r w:rsidR="004D4D3F" w:rsidRPr="00055D92">
        <w:rPr>
          <w:rFonts w:ascii="Verdana" w:hAnsi="Verdana"/>
          <w:sz w:val="20"/>
          <w:szCs w:val="20"/>
        </w:rPr>
        <w:t xml:space="preserve"> </w:t>
      </w:r>
    </w:p>
    <w:p w14:paraId="31C19252" w14:textId="77777777" w:rsidR="001E60AA" w:rsidRDefault="001E60AA" w:rsidP="001E60AA">
      <w:pPr>
        <w:pStyle w:val="Prrafodelista"/>
        <w:numPr>
          <w:ilvl w:val="0"/>
          <w:numId w:val="73"/>
        </w:numPr>
        <w:ind w:left="567" w:hanging="567"/>
        <w:jc w:val="both"/>
        <w:rPr>
          <w:rFonts w:ascii="Verdana" w:hAnsi="Verdana"/>
          <w:sz w:val="20"/>
          <w:szCs w:val="20"/>
        </w:rPr>
      </w:pPr>
      <w:r w:rsidRPr="001E60AA">
        <w:rPr>
          <w:rFonts w:ascii="Verdana" w:hAnsi="Verdana"/>
          <w:sz w:val="20"/>
          <w:szCs w:val="20"/>
        </w:rPr>
        <w:t>Límites de exposición por país, área geográfica, tipo de moneda extranjera, entre otros.</w:t>
      </w:r>
    </w:p>
    <w:p w14:paraId="156F5479" w14:textId="77777777" w:rsidR="001E60AA" w:rsidRDefault="001E60AA" w:rsidP="001E60AA">
      <w:pPr>
        <w:pStyle w:val="Prrafodelista"/>
        <w:ind w:left="567"/>
        <w:jc w:val="both"/>
        <w:rPr>
          <w:rFonts w:ascii="Verdana" w:hAnsi="Verdana"/>
          <w:sz w:val="20"/>
          <w:szCs w:val="20"/>
        </w:rPr>
      </w:pPr>
    </w:p>
    <w:p w14:paraId="4D0196C6" w14:textId="77777777" w:rsidR="006640D2" w:rsidRDefault="006640D2" w:rsidP="001E60AA">
      <w:pPr>
        <w:pStyle w:val="Prrafodelista"/>
        <w:ind w:left="567"/>
        <w:jc w:val="both"/>
        <w:rPr>
          <w:rFonts w:ascii="Verdana" w:hAnsi="Verdana"/>
          <w:sz w:val="20"/>
          <w:szCs w:val="20"/>
        </w:rPr>
      </w:pPr>
    </w:p>
    <w:p w14:paraId="5CA053E1" w14:textId="77777777" w:rsidR="006640D2" w:rsidRDefault="006640D2" w:rsidP="001E60AA">
      <w:pPr>
        <w:pStyle w:val="Prrafodelista"/>
        <w:ind w:left="567"/>
        <w:jc w:val="both"/>
        <w:rPr>
          <w:rFonts w:ascii="Verdana" w:hAnsi="Verdana"/>
          <w:sz w:val="20"/>
          <w:szCs w:val="20"/>
        </w:rPr>
      </w:pPr>
    </w:p>
    <w:p w14:paraId="42748354" w14:textId="77777777" w:rsidR="00060454" w:rsidRDefault="001E60AA" w:rsidP="001E60AA">
      <w:pPr>
        <w:pStyle w:val="Prrafodelista"/>
        <w:numPr>
          <w:ilvl w:val="0"/>
          <w:numId w:val="73"/>
        </w:numPr>
        <w:ind w:left="567" w:hanging="567"/>
        <w:jc w:val="both"/>
        <w:rPr>
          <w:rFonts w:ascii="Verdana" w:hAnsi="Verdana"/>
          <w:sz w:val="20"/>
          <w:szCs w:val="20"/>
        </w:rPr>
      </w:pPr>
      <w:r w:rsidRPr="001E60AA">
        <w:rPr>
          <w:rFonts w:ascii="Verdana" w:hAnsi="Verdana"/>
          <w:sz w:val="20"/>
          <w:szCs w:val="20"/>
        </w:rPr>
        <w:t>Parámetros a partir de los cuales se definen las jurisdicciones elegibles para ser destino de operaciones financieras en el exterior, de acuerdo con el tamaño, el apetito y la tolerancia al riesgo, el plan de negocio y la importancia sistémica de la entidad.</w:t>
      </w:r>
    </w:p>
    <w:p w14:paraId="22A7CE1A" w14:textId="4E1D564D" w:rsidR="00060454" w:rsidRPr="00443A04" w:rsidRDefault="00060454" w:rsidP="00060454">
      <w:pPr>
        <w:spacing w:after="0"/>
        <w:jc w:val="both"/>
        <w:rPr>
          <w:rFonts w:ascii="Verdana" w:hAnsi="Verdana"/>
          <w:sz w:val="20"/>
          <w:szCs w:val="20"/>
        </w:rPr>
      </w:pPr>
      <w:r>
        <w:rPr>
          <w:rFonts w:ascii="Verdana" w:hAnsi="Verdana"/>
          <w:sz w:val="20"/>
          <w:szCs w:val="20"/>
        </w:rPr>
        <w:lastRenderedPageBreak/>
        <w:t>1.1.2.22</w:t>
      </w:r>
      <w:r w:rsidR="006129BB">
        <w:rPr>
          <w:rFonts w:ascii="Verdana" w:hAnsi="Verdana"/>
          <w:sz w:val="20"/>
          <w:szCs w:val="20"/>
        </w:rPr>
        <w:t>4</w:t>
      </w:r>
      <w:r>
        <w:rPr>
          <w:rFonts w:ascii="Verdana" w:hAnsi="Verdana"/>
          <w:sz w:val="20"/>
          <w:szCs w:val="20"/>
        </w:rPr>
        <w:t>.</w:t>
      </w:r>
    </w:p>
    <w:p w14:paraId="49156E57" w14:textId="77777777" w:rsidR="00834D34" w:rsidRDefault="007D2094" w:rsidP="00060454">
      <w:pPr>
        <w:jc w:val="both"/>
        <w:rPr>
          <w:rFonts w:ascii="Verdana" w:hAnsi="Verdana"/>
          <w:sz w:val="20"/>
          <w:szCs w:val="20"/>
        </w:rPr>
      </w:pPr>
      <w:r w:rsidRPr="007D2094">
        <w:rPr>
          <w:rFonts w:ascii="Verdana" w:hAnsi="Verdana"/>
          <w:sz w:val="20"/>
          <w:szCs w:val="20"/>
        </w:rPr>
        <w:t>En la definición de estos límites la entidad debe considerar la realización de operaciones con la participación de partes relacionadas, incluidas las operaciones intragrupo, que por estar domiciliadas en el mismo país receptor de la operación financiera impliquen exposición al riesgo país.</w:t>
      </w:r>
      <w:r w:rsidRPr="00060454">
        <w:rPr>
          <w:rFonts w:ascii="Verdana" w:hAnsi="Verdana"/>
          <w:sz w:val="20"/>
          <w:szCs w:val="20"/>
        </w:rPr>
        <w:t xml:space="preserve"> </w:t>
      </w:r>
    </w:p>
    <w:p w14:paraId="5636EDC0" w14:textId="21404DFD" w:rsidR="00834D34" w:rsidRPr="007735FE" w:rsidRDefault="00B9392D" w:rsidP="00834D34">
      <w:pPr>
        <w:jc w:val="both"/>
        <w:rPr>
          <w:rFonts w:ascii="Verdana" w:hAnsi="Verdana"/>
          <w:b/>
          <w:bCs/>
          <w:sz w:val="20"/>
          <w:szCs w:val="20"/>
        </w:rPr>
      </w:pPr>
      <w:r>
        <w:rPr>
          <w:rFonts w:ascii="Verdana" w:hAnsi="Verdana"/>
          <w:b/>
          <w:bCs/>
          <w:sz w:val="20"/>
          <w:szCs w:val="20"/>
        </w:rPr>
        <w:t>Reportes</w:t>
      </w:r>
    </w:p>
    <w:p w14:paraId="144BB90B" w14:textId="10EB3937" w:rsidR="00834D34" w:rsidRPr="00443A04" w:rsidRDefault="00834D34" w:rsidP="00834D34">
      <w:pPr>
        <w:spacing w:after="0"/>
        <w:jc w:val="both"/>
        <w:rPr>
          <w:rFonts w:ascii="Verdana" w:hAnsi="Verdana"/>
          <w:sz w:val="20"/>
          <w:szCs w:val="20"/>
        </w:rPr>
      </w:pPr>
      <w:r>
        <w:rPr>
          <w:rFonts w:ascii="Verdana" w:hAnsi="Verdana"/>
          <w:sz w:val="20"/>
          <w:szCs w:val="20"/>
        </w:rPr>
        <w:t>1.1.2.22</w:t>
      </w:r>
      <w:r w:rsidR="006129BB">
        <w:rPr>
          <w:rFonts w:ascii="Verdana" w:hAnsi="Verdana"/>
          <w:sz w:val="20"/>
          <w:szCs w:val="20"/>
        </w:rPr>
        <w:t>5</w:t>
      </w:r>
      <w:r>
        <w:rPr>
          <w:rFonts w:ascii="Verdana" w:hAnsi="Verdana"/>
          <w:sz w:val="20"/>
          <w:szCs w:val="20"/>
        </w:rPr>
        <w:t>.</w:t>
      </w:r>
    </w:p>
    <w:p w14:paraId="380689C1" w14:textId="1AC923AB" w:rsidR="00834D34" w:rsidRDefault="00FD37FE" w:rsidP="00834D34">
      <w:pPr>
        <w:jc w:val="both"/>
        <w:rPr>
          <w:rFonts w:ascii="Verdana" w:hAnsi="Verdana"/>
          <w:sz w:val="20"/>
          <w:szCs w:val="20"/>
        </w:rPr>
      </w:pPr>
      <w:r w:rsidRPr="00FD37FE">
        <w:rPr>
          <w:rFonts w:ascii="Verdana" w:hAnsi="Verdana"/>
          <w:sz w:val="20"/>
          <w:szCs w:val="20"/>
        </w:rPr>
        <w:t xml:space="preserve">Quienes desarrollen la función de gestión de riesgos debe presentar a la JD y al </w:t>
      </w:r>
      <w:r w:rsidR="009B0F78">
        <w:rPr>
          <w:rFonts w:ascii="Verdana" w:hAnsi="Verdana"/>
          <w:sz w:val="20"/>
          <w:szCs w:val="20"/>
        </w:rPr>
        <w:t>r</w:t>
      </w:r>
      <w:r w:rsidRPr="00FD37FE">
        <w:rPr>
          <w:rFonts w:ascii="Verdana" w:hAnsi="Verdana"/>
          <w:sz w:val="20"/>
          <w:szCs w:val="20"/>
        </w:rPr>
        <w:t>epresentante legal, al menos semestralmente, un informe que contenga como mínimo los siguientes aspectos:</w:t>
      </w:r>
      <w:r w:rsidR="00834D34" w:rsidRPr="00055D92">
        <w:rPr>
          <w:rFonts w:ascii="Verdana" w:hAnsi="Verdana"/>
          <w:sz w:val="20"/>
          <w:szCs w:val="20"/>
        </w:rPr>
        <w:t xml:space="preserve"> </w:t>
      </w:r>
    </w:p>
    <w:p w14:paraId="3984CC78" w14:textId="77777777" w:rsidR="00EF0EC6" w:rsidRDefault="00541FEE" w:rsidP="00EF0EC6">
      <w:pPr>
        <w:pStyle w:val="Prrafodelista"/>
        <w:numPr>
          <w:ilvl w:val="0"/>
          <w:numId w:val="74"/>
        </w:numPr>
        <w:ind w:left="567" w:hanging="567"/>
        <w:jc w:val="both"/>
        <w:rPr>
          <w:rFonts w:ascii="Verdana" w:hAnsi="Verdana"/>
          <w:sz w:val="20"/>
          <w:szCs w:val="20"/>
        </w:rPr>
      </w:pPr>
      <w:r w:rsidRPr="00541FEE">
        <w:rPr>
          <w:rFonts w:ascii="Verdana" w:hAnsi="Verdana"/>
          <w:sz w:val="20"/>
          <w:szCs w:val="20"/>
        </w:rPr>
        <w:t>La exposición y nivel de concentración global al riesgo país de la entidad, por país, área geográfica, tipo de moneda extranjera, entre otros. Así como las exposiciones intragrupo y con vinculados de la entidad a nivel regional y por país.</w:t>
      </w:r>
    </w:p>
    <w:p w14:paraId="71C915BE" w14:textId="77777777" w:rsidR="00EF0EC6" w:rsidRDefault="00EF0EC6" w:rsidP="00EF0EC6">
      <w:pPr>
        <w:pStyle w:val="Prrafodelista"/>
        <w:ind w:left="567"/>
        <w:jc w:val="both"/>
        <w:rPr>
          <w:rFonts w:ascii="Verdana" w:hAnsi="Verdana"/>
          <w:sz w:val="20"/>
          <w:szCs w:val="20"/>
        </w:rPr>
      </w:pPr>
    </w:p>
    <w:p w14:paraId="1C28F0D4" w14:textId="77777777" w:rsidR="00EF0EC6" w:rsidRDefault="00EF0EC6" w:rsidP="00EF0EC6">
      <w:pPr>
        <w:pStyle w:val="Prrafodelista"/>
        <w:numPr>
          <w:ilvl w:val="0"/>
          <w:numId w:val="74"/>
        </w:numPr>
        <w:ind w:left="567" w:hanging="567"/>
        <w:jc w:val="both"/>
        <w:rPr>
          <w:rFonts w:ascii="Verdana" w:hAnsi="Verdana"/>
          <w:sz w:val="20"/>
          <w:szCs w:val="20"/>
        </w:rPr>
      </w:pPr>
      <w:r w:rsidRPr="00EF0EC6">
        <w:rPr>
          <w:rFonts w:ascii="Verdana" w:hAnsi="Verdana"/>
          <w:sz w:val="20"/>
          <w:szCs w:val="20"/>
        </w:rPr>
        <w:t>El cumplimiento general de las políticas y límites de exposición a riesgo país autorizadas por la JD.</w:t>
      </w:r>
    </w:p>
    <w:p w14:paraId="69ABB620" w14:textId="77777777" w:rsidR="00EF0EC6" w:rsidRPr="00EF0EC6" w:rsidRDefault="00EF0EC6" w:rsidP="00EF0EC6">
      <w:pPr>
        <w:pStyle w:val="Prrafodelista"/>
        <w:jc w:val="both"/>
        <w:rPr>
          <w:rFonts w:ascii="Verdana" w:hAnsi="Verdana"/>
          <w:sz w:val="20"/>
          <w:szCs w:val="20"/>
        </w:rPr>
      </w:pPr>
    </w:p>
    <w:p w14:paraId="0C858E45" w14:textId="5112F08E" w:rsidR="00EF0EC6" w:rsidRPr="00EF0EC6" w:rsidRDefault="00EF0EC6" w:rsidP="00EF0EC6">
      <w:pPr>
        <w:pStyle w:val="Prrafodelista"/>
        <w:numPr>
          <w:ilvl w:val="0"/>
          <w:numId w:val="74"/>
        </w:numPr>
        <w:ind w:left="567" w:hanging="567"/>
        <w:jc w:val="both"/>
        <w:rPr>
          <w:rFonts w:ascii="Verdana" w:hAnsi="Verdana"/>
          <w:sz w:val="20"/>
          <w:szCs w:val="20"/>
        </w:rPr>
      </w:pPr>
      <w:r w:rsidRPr="00EF0EC6">
        <w:rPr>
          <w:rFonts w:ascii="Verdana" w:hAnsi="Verdana"/>
          <w:sz w:val="20"/>
          <w:szCs w:val="20"/>
        </w:rPr>
        <w:t xml:space="preserve">Los resultados de la evaluación y el seguimiento del comportamiento de las variables utilizadas en la etapa de medición </w:t>
      </w:r>
      <w:r w:rsidR="0016702E">
        <w:rPr>
          <w:rFonts w:ascii="Verdana" w:hAnsi="Verdana"/>
          <w:sz w:val="20"/>
          <w:szCs w:val="20"/>
        </w:rPr>
        <w:t>según lo previsto entre los párrafos 1.1.2.</w:t>
      </w:r>
      <w:r w:rsidR="00632FFE">
        <w:rPr>
          <w:rFonts w:ascii="Verdana" w:hAnsi="Verdana"/>
          <w:sz w:val="20"/>
          <w:szCs w:val="20"/>
        </w:rPr>
        <w:t>206. y 1.1.2.216.</w:t>
      </w:r>
      <w:r w:rsidRPr="00EF0EC6">
        <w:rPr>
          <w:rFonts w:ascii="Verdana" w:hAnsi="Verdana"/>
          <w:sz w:val="20"/>
          <w:szCs w:val="20"/>
        </w:rPr>
        <w:t>, así como las calificaciones de riesgo país y el ajuste por deterioro de la inversión de conformidad con lo establecido en</w:t>
      </w:r>
      <w:r w:rsidR="006C6460">
        <w:rPr>
          <w:rFonts w:ascii="Verdana" w:hAnsi="Verdana"/>
          <w:sz w:val="20"/>
          <w:szCs w:val="20"/>
        </w:rPr>
        <w:t xml:space="preserve"> el modelo de medición del riesgo país de que trata la sección 3 del presente capítulo. </w:t>
      </w:r>
      <w:r w:rsidRPr="00EF0EC6">
        <w:rPr>
          <w:rFonts w:ascii="Verdana" w:hAnsi="Verdana"/>
          <w:sz w:val="20"/>
          <w:szCs w:val="20"/>
        </w:rPr>
        <w:t xml:space="preserve"> </w:t>
      </w:r>
    </w:p>
    <w:p w14:paraId="43120DFA" w14:textId="0572D19F" w:rsidR="00834D34" w:rsidRPr="00443A04" w:rsidRDefault="00834D34" w:rsidP="00834D34">
      <w:pPr>
        <w:spacing w:after="0"/>
        <w:jc w:val="both"/>
        <w:rPr>
          <w:rFonts w:ascii="Verdana" w:hAnsi="Verdana"/>
          <w:sz w:val="20"/>
          <w:szCs w:val="20"/>
        </w:rPr>
      </w:pPr>
      <w:r>
        <w:rPr>
          <w:rFonts w:ascii="Verdana" w:hAnsi="Verdana"/>
          <w:sz w:val="20"/>
          <w:szCs w:val="20"/>
        </w:rPr>
        <w:t>1.1.2.22</w:t>
      </w:r>
      <w:r w:rsidR="006129BB">
        <w:rPr>
          <w:rFonts w:ascii="Verdana" w:hAnsi="Verdana"/>
          <w:sz w:val="20"/>
          <w:szCs w:val="20"/>
        </w:rPr>
        <w:t>6</w:t>
      </w:r>
      <w:r>
        <w:rPr>
          <w:rFonts w:ascii="Verdana" w:hAnsi="Verdana"/>
          <w:sz w:val="20"/>
          <w:szCs w:val="20"/>
        </w:rPr>
        <w:t>.</w:t>
      </w:r>
    </w:p>
    <w:p w14:paraId="1BC44BEF" w14:textId="5DD3BB57" w:rsidR="00C213FA" w:rsidRDefault="00C213FA" w:rsidP="00834D34">
      <w:pPr>
        <w:jc w:val="both"/>
        <w:rPr>
          <w:rFonts w:ascii="Verdana" w:hAnsi="Verdana"/>
          <w:sz w:val="20"/>
          <w:szCs w:val="20"/>
        </w:rPr>
      </w:pPr>
      <w:r w:rsidRPr="00C213FA">
        <w:rPr>
          <w:rFonts w:ascii="Verdana" w:hAnsi="Verdana"/>
          <w:sz w:val="20"/>
          <w:szCs w:val="20"/>
        </w:rPr>
        <w:t xml:space="preserve">Este informe debe ser remitido a la SFC con una periodicidad no mayor a </w:t>
      </w:r>
      <w:r w:rsidR="0033133F">
        <w:rPr>
          <w:rFonts w:ascii="Verdana" w:hAnsi="Verdana"/>
          <w:sz w:val="20"/>
          <w:szCs w:val="20"/>
        </w:rPr>
        <w:t>6</w:t>
      </w:r>
      <w:r w:rsidRPr="00C213FA">
        <w:rPr>
          <w:rFonts w:ascii="Verdana" w:hAnsi="Verdana"/>
          <w:sz w:val="20"/>
          <w:szCs w:val="20"/>
        </w:rPr>
        <w:t xml:space="preserve"> meses. </w:t>
      </w:r>
    </w:p>
    <w:p w14:paraId="5F8B9316" w14:textId="77777777" w:rsidR="00C213FA" w:rsidRDefault="00C213FA">
      <w:pPr>
        <w:rPr>
          <w:rFonts w:ascii="Verdana" w:hAnsi="Verdana"/>
          <w:sz w:val="20"/>
          <w:szCs w:val="20"/>
        </w:rPr>
      </w:pPr>
      <w:r>
        <w:rPr>
          <w:rFonts w:ascii="Verdana" w:hAnsi="Verdana"/>
          <w:sz w:val="20"/>
          <w:szCs w:val="20"/>
        </w:rPr>
        <w:br w:type="page"/>
      </w:r>
    </w:p>
    <w:p w14:paraId="171DA595" w14:textId="661C3C5D" w:rsidR="00C213FA" w:rsidRDefault="00C213FA" w:rsidP="00C213FA">
      <w:pPr>
        <w:spacing w:after="0"/>
        <w:jc w:val="both"/>
        <w:rPr>
          <w:rFonts w:ascii="Verdana" w:hAnsi="Verdana"/>
          <w:b/>
          <w:bCs/>
          <w:sz w:val="20"/>
          <w:szCs w:val="20"/>
        </w:rPr>
      </w:pPr>
      <w:r>
        <w:rPr>
          <w:rFonts w:ascii="Verdana" w:hAnsi="Verdana"/>
          <w:b/>
          <w:bCs/>
          <w:sz w:val="20"/>
          <w:szCs w:val="20"/>
        </w:rPr>
        <w:lastRenderedPageBreak/>
        <w:t xml:space="preserve">GESTIÓN DEL </w:t>
      </w:r>
      <w:r w:rsidRPr="00A810C8">
        <w:rPr>
          <w:rFonts w:ascii="Verdana" w:hAnsi="Verdana"/>
          <w:b/>
          <w:bCs/>
          <w:sz w:val="20"/>
          <w:szCs w:val="20"/>
        </w:rPr>
        <w:t xml:space="preserve">RIESGO </w:t>
      </w:r>
      <w:r w:rsidR="003325A9" w:rsidRPr="003325A9">
        <w:rPr>
          <w:rFonts w:ascii="Verdana" w:hAnsi="Verdana"/>
          <w:b/>
          <w:bCs/>
          <w:sz w:val="20"/>
          <w:szCs w:val="20"/>
        </w:rPr>
        <w:t>DE CONTRAPARTE</w:t>
      </w:r>
    </w:p>
    <w:p w14:paraId="12110A86" w14:textId="77777777" w:rsidR="003325A9" w:rsidRDefault="003325A9" w:rsidP="00C213FA">
      <w:pPr>
        <w:spacing w:after="0"/>
        <w:jc w:val="both"/>
        <w:rPr>
          <w:rFonts w:ascii="Verdana" w:hAnsi="Verdana"/>
          <w:sz w:val="20"/>
          <w:szCs w:val="20"/>
        </w:rPr>
      </w:pPr>
    </w:p>
    <w:p w14:paraId="67660198" w14:textId="0C72BEFD" w:rsidR="00C213FA" w:rsidRPr="007735FE" w:rsidRDefault="00C213FA" w:rsidP="00C213FA">
      <w:pPr>
        <w:jc w:val="both"/>
        <w:rPr>
          <w:rFonts w:ascii="Verdana" w:hAnsi="Verdana"/>
          <w:b/>
          <w:bCs/>
          <w:sz w:val="20"/>
          <w:szCs w:val="20"/>
        </w:rPr>
      </w:pPr>
      <w:r>
        <w:rPr>
          <w:rFonts w:ascii="Verdana" w:hAnsi="Verdana"/>
          <w:b/>
          <w:bCs/>
          <w:sz w:val="20"/>
          <w:szCs w:val="20"/>
        </w:rPr>
        <w:t xml:space="preserve">Definición de riesgo </w:t>
      </w:r>
      <w:r w:rsidR="00CB7258" w:rsidRPr="00CB7258">
        <w:rPr>
          <w:rFonts w:ascii="Verdana" w:hAnsi="Verdana"/>
          <w:b/>
          <w:bCs/>
          <w:sz w:val="20"/>
          <w:szCs w:val="20"/>
        </w:rPr>
        <w:t>de contraparte</w:t>
      </w:r>
    </w:p>
    <w:p w14:paraId="4F581476" w14:textId="69C29A84" w:rsidR="00C213FA" w:rsidRPr="000001A2" w:rsidRDefault="00C213FA" w:rsidP="00C213FA">
      <w:pPr>
        <w:spacing w:after="0"/>
        <w:jc w:val="both"/>
        <w:rPr>
          <w:rFonts w:ascii="Verdana" w:hAnsi="Verdana"/>
          <w:sz w:val="20"/>
          <w:szCs w:val="20"/>
        </w:rPr>
      </w:pPr>
      <w:r>
        <w:rPr>
          <w:rFonts w:ascii="Verdana" w:hAnsi="Verdana"/>
          <w:sz w:val="20"/>
          <w:szCs w:val="20"/>
        </w:rPr>
        <w:t>1.1.2.</w:t>
      </w:r>
      <w:r w:rsidR="00CB7258">
        <w:rPr>
          <w:rFonts w:ascii="Verdana" w:hAnsi="Verdana"/>
          <w:sz w:val="20"/>
          <w:szCs w:val="20"/>
        </w:rPr>
        <w:t>22</w:t>
      </w:r>
      <w:r w:rsidR="00A80A3E">
        <w:rPr>
          <w:rFonts w:ascii="Verdana" w:hAnsi="Verdana"/>
          <w:sz w:val="20"/>
          <w:szCs w:val="20"/>
        </w:rPr>
        <w:t>7</w:t>
      </w:r>
      <w:r>
        <w:rPr>
          <w:rFonts w:ascii="Verdana" w:hAnsi="Verdana"/>
          <w:sz w:val="20"/>
          <w:szCs w:val="20"/>
        </w:rPr>
        <w:t>.</w:t>
      </w:r>
    </w:p>
    <w:p w14:paraId="0115D075" w14:textId="5BEC5690" w:rsidR="00C213FA" w:rsidRDefault="00E210AD" w:rsidP="00C213FA">
      <w:pPr>
        <w:jc w:val="both"/>
        <w:rPr>
          <w:rFonts w:ascii="Verdana" w:hAnsi="Verdana"/>
          <w:sz w:val="20"/>
          <w:szCs w:val="20"/>
        </w:rPr>
      </w:pPr>
      <w:r>
        <w:rPr>
          <w:rFonts w:ascii="Verdana" w:hAnsi="Verdana"/>
          <w:sz w:val="20"/>
          <w:szCs w:val="20"/>
        </w:rPr>
        <w:t>El r</w:t>
      </w:r>
      <w:r w:rsidR="00663AE4" w:rsidRPr="00663AE4">
        <w:rPr>
          <w:rFonts w:ascii="Verdana" w:hAnsi="Verdana"/>
          <w:sz w:val="20"/>
          <w:szCs w:val="20"/>
        </w:rPr>
        <w:t xml:space="preserve">iesgo de </w:t>
      </w:r>
      <w:r>
        <w:rPr>
          <w:rFonts w:ascii="Verdana" w:hAnsi="Verdana"/>
          <w:sz w:val="20"/>
          <w:szCs w:val="20"/>
        </w:rPr>
        <w:t>c</w:t>
      </w:r>
      <w:r w:rsidR="00663AE4" w:rsidRPr="00663AE4">
        <w:rPr>
          <w:rFonts w:ascii="Verdana" w:hAnsi="Verdana"/>
          <w:sz w:val="20"/>
          <w:szCs w:val="20"/>
        </w:rPr>
        <w:t>ontraparte (RiC</w:t>
      </w:r>
      <w:r>
        <w:rPr>
          <w:rFonts w:ascii="Verdana" w:hAnsi="Verdana"/>
          <w:sz w:val="20"/>
          <w:szCs w:val="20"/>
        </w:rPr>
        <w:t>) es</w:t>
      </w:r>
      <w:r w:rsidR="00663AE4" w:rsidRPr="00663AE4">
        <w:rPr>
          <w:rFonts w:ascii="Verdana" w:hAnsi="Verdana"/>
          <w:sz w:val="20"/>
          <w:szCs w:val="20"/>
        </w:rPr>
        <w:t xml:space="preserve"> la posibilidad de que una entidad incurra en pérdidas y disminuya el valor de sus activos como consecuencia del incumplimiento de una o varias operaciones por parte de sus contrapartes, evento en el cual deberá cubrir el incumplimiento con sus propios recursos o materializar una pérdida en su balance.</w:t>
      </w:r>
    </w:p>
    <w:p w14:paraId="2385B68F" w14:textId="6B00D20D" w:rsidR="004A68EC" w:rsidRPr="000001A2" w:rsidRDefault="004A68EC" w:rsidP="004A68EC">
      <w:pPr>
        <w:spacing w:after="0"/>
        <w:jc w:val="both"/>
        <w:rPr>
          <w:rFonts w:ascii="Verdana" w:hAnsi="Verdana"/>
          <w:sz w:val="20"/>
          <w:szCs w:val="20"/>
        </w:rPr>
      </w:pPr>
      <w:r>
        <w:rPr>
          <w:rFonts w:ascii="Verdana" w:hAnsi="Verdana"/>
          <w:sz w:val="20"/>
          <w:szCs w:val="20"/>
        </w:rPr>
        <w:t>1.1.2.22</w:t>
      </w:r>
      <w:r w:rsidR="00A80A3E">
        <w:rPr>
          <w:rFonts w:ascii="Verdana" w:hAnsi="Verdana"/>
          <w:sz w:val="20"/>
          <w:szCs w:val="20"/>
        </w:rPr>
        <w:t>8</w:t>
      </w:r>
      <w:r>
        <w:rPr>
          <w:rFonts w:ascii="Verdana" w:hAnsi="Verdana"/>
          <w:sz w:val="20"/>
          <w:szCs w:val="20"/>
        </w:rPr>
        <w:t>.</w:t>
      </w:r>
    </w:p>
    <w:p w14:paraId="5BB948B7" w14:textId="3483E42F" w:rsidR="004A68EC" w:rsidRPr="000209E8" w:rsidRDefault="009B27F4" w:rsidP="004A68EC">
      <w:pPr>
        <w:jc w:val="both"/>
        <w:rPr>
          <w:rFonts w:ascii="Verdana" w:hAnsi="Verdana"/>
          <w:sz w:val="20"/>
          <w:szCs w:val="20"/>
        </w:rPr>
      </w:pPr>
      <w:r w:rsidRPr="009B27F4">
        <w:rPr>
          <w:rFonts w:ascii="Verdana" w:hAnsi="Verdana"/>
          <w:sz w:val="20"/>
          <w:szCs w:val="20"/>
        </w:rPr>
        <w:t xml:space="preserve">El RiC puede presentarse en desarrollo de las operaciones por cuenta propia de las SCBV o de las sociedades comisionistas de bolsa de bienes y productos agropecuarios, agroindustriales o de otros </w:t>
      </w:r>
      <w:proofErr w:type="spellStart"/>
      <w:r w:rsidRPr="00190BA0">
        <w:rPr>
          <w:rFonts w:ascii="Verdana" w:hAnsi="Verdana"/>
          <w:i/>
          <w:iCs/>
          <w:sz w:val="20"/>
          <w:szCs w:val="20"/>
        </w:rPr>
        <w:t>commodities</w:t>
      </w:r>
      <w:proofErr w:type="spellEnd"/>
      <w:r w:rsidRPr="009B27F4">
        <w:rPr>
          <w:rFonts w:ascii="Verdana" w:hAnsi="Verdana"/>
          <w:sz w:val="20"/>
          <w:szCs w:val="20"/>
        </w:rPr>
        <w:t xml:space="preserve"> (SCBA), cuando la contraparte de la operación no cumpla con sus obligaciones durante el plazo de la operación o al momento de la liquidación de </w:t>
      </w:r>
      <w:proofErr w:type="gramStart"/>
      <w:r w:rsidRPr="009B27F4">
        <w:rPr>
          <w:rFonts w:ascii="Verdana" w:hAnsi="Verdana"/>
          <w:sz w:val="20"/>
          <w:szCs w:val="20"/>
        </w:rPr>
        <w:t>la misma</w:t>
      </w:r>
      <w:proofErr w:type="gramEnd"/>
      <w:r w:rsidRPr="009B27F4">
        <w:rPr>
          <w:rFonts w:ascii="Verdana" w:hAnsi="Verdana"/>
          <w:sz w:val="20"/>
          <w:szCs w:val="20"/>
        </w:rPr>
        <w:t>. Así mismo, cuando uno de sus clientes por cuenta de quien realiza operaciones ya sea en un sistema de negociación, una bolsa o en el mercado mostrador, llegue a incumplir sus obligaciones de pago o entrega de garantías respecto de las operaciones celebradas por dichas entidades en desarrollo del contrato de comisión, de administración de portafolios de terceros o de administración de valores.</w:t>
      </w:r>
    </w:p>
    <w:p w14:paraId="6E277A3B" w14:textId="72B2336E" w:rsidR="004A68EC" w:rsidRPr="000001A2" w:rsidRDefault="004A68EC" w:rsidP="004A68EC">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.1.2.22</w:t>
      </w:r>
      <w:r w:rsidR="00A80A3E">
        <w:rPr>
          <w:rFonts w:ascii="Verdana" w:hAnsi="Verdana"/>
          <w:sz w:val="20"/>
          <w:szCs w:val="20"/>
        </w:rPr>
        <w:t>9</w:t>
      </w:r>
      <w:r>
        <w:rPr>
          <w:rFonts w:ascii="Verdana" w:hAnsi="Verdana"/>
          <w:sz w:val="20"/>
          <w:szCs w:val="20"/>
        </w:rPr>
        <w:t>.</w:t>
      </w:r>
    </w:p>
    <w:p w14:paraId="7B891CE5" w14:textId="70ADAC74" w:rsidR="004A68EC" w:rsidRPr="000209E8" w:rsidRDefault="000C532F" w:rsidP="004A68EC">
      <w:pPr>
        <w:jc w:val="both"/>
        <w:rPr>
          <w:rFonts w:ascii="Verdana" w:hAnsi="Verdana"/>
          <w:sz w:val="20"/>
          <w:szCs w:val="20"/>
        </w:rPr>
      </w:pPr>
      <w:r w:rsidRPr="000C532F">
        <w:rPr>
          <w:rFonts w:ascii="Verdana" w:hAnsi="Verdana"/>
          <w:sz w:val="20"/>
          <w:szCs w:val="20"/>
        </w:rPr>
        <w:t>Cliente</w:t>
      </w:r>
      <w:r w:rsidR="004B607E">
        <w:rPr>
          <w:rFonts w:ascii="Verdana" w:hAnsi="Verdana"/>
          <w:sz w:val="20"/>
          <w:szCs w:val="20"/>
        </w:rPr>
        <w:t>.</w:t>
      </w:r>
      <w:r w:rsidRPr="000C532F">
        <w:rPr>
          <w:rFonts w:ascii="Verdana" w:hAnsi="Verdana"/>
          <w:sz w:val="20"/>
          <w:szCs w:val="20"/>
        </w:rPr>
        <w:t xml:space="preserve"> Es aquel que realiza operaciones a través de una SCBV o una SCBA en virtud del contrato de comisión, de administración de portafolios de terceros o de administración de valores, según el régimen legal y de actividades autorizadas de la respectiva entidad o, que interviene en cualquier operación de intermediación de valores en la que a su vez participa una SCVB o una SCBA.</w:t>
      </w:r>
    </w:p>
    <w:p w14:paraId="562679F2" w14:textId="533D8870" w:rsidR="004A68EC" w:rsidRPr="000001A2" w:rsidRDefault="004A68EC" w:rsidP="004A68EC">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.1.2.2</w:t>
      </w:r>
      <w:r w:rsidR="00A80A3E">
        <w:rPr>
          <w:rFonts w:ascii="Verdana" w:hAnsi="Verdana"/>
          <w:sz w:val="20"/>
          <w:szCs w:val="20"/>
        </w:rPr>
        <w:t>30</w:t>
      </w:r>
      <w:r>
        <w:rPr>
          <w:rFonts w:ascii="Verdana" w:hAnsi="Verdana"/>
          <w:sz w:val="20"/>
          <w:szCs w:val="20"/>
        </w:rPr>
        <w:t>.</w:t>
      </w:r>
    </w:p>
    <w:p w14:paraId="1D212364" w14:textId="23563002" w:rsidR="004A68EC" w:rsidRPr="000209E8" w:rsidRDefault="00296011" w:rsidP="004A68EC">
      <w:pPr>
        <w:jc w:val="both"/>
        <w:rPr>
          <w:rFonts w:ascii="Verdana" w:hAnsi="Verdana"/>
          <w:sz w:val="20"/>
          <w:szCs w:val="20"/>
        </w:rPr>
      </w:pPr>
      <w:r w:rsidRPr="00296011">
        <w:rPr>
          <w:rFonts w:ascii="Verdana" w:hAnsi="Verdana"/>
          <w:sz w:val="20"/>
          <w:szCs w:val="20"/>
        </w:rPr>
        <w:t>Contraparte</w:t>
      </w:r>
      <w:r w:rsidR="004B607E">
        <w:rPr>
          <w:rFonts w:ascii="Verdana" w:hAnsi="Verdana"/>
          <w:sz w:val="20"/>
          <w:szCs w:val="20"/>
        </w:rPr>
        <w:t>.</w:t>
      </w:r>
      <w:r w:rsidRPr="00296011">
        <w:rPr>
          <w:rFonts w:ascii="Verdana" w:hAnsi="Verdana"/>
          <w:sz w:val="20"/>
          <w:szCs w:val="20"/>
        </w:rPr>
        <w:t xml:space="preserve"> Denominación que incluye a los clientes de una SCBV o una SCBA, así como a aquellos con quienes una SCBV o una SCBA celebra operaciones por cuenta propia o por cuenta de terceros, sobre valores o activos para los cuales se encuentran autorizadas, ya sea en un sistema de negociación, bolsa o en el mercado mostrador</w:t>
      </w:r>
      <w:r>
        <w:rPr>
          <w:rFonts w:ascii="Verdana" w:hAnsi="Verdana"/>
          <w:sz w:val="20"/>
          <w:szCs w:val="20"/>
        </w:rPr>
        <w:t>.</w:t>
      </w:r>
    </w:p>
    <w:p w14:paraId="3CEAC6F6" w14:textId="77777777" w:rsidR="00C213FA" w:rsidRPr="007735FE" w:rsidRDefault="00C213FA" w:rsidP="00C213FA">
      <w:pPr>
        <w:jc w:val="both"/>
        <w:rPr>
          <w:rFonts w:ascii="Verdana" w:hAnsi="Verdana"/>
          <w:b/>
          <w:bCs/>
          <w:sz w:val="20"/>
          <w:szCs w:val="20"/>
        </w:rPr>
      </w:pPr>
      <w:r>
        <w:rPr>
          <w:rFonts w:ascii="Verdana" w:hAnsi="Verdana"/>
          <w:b/>
          <w:bCs/>
          <w:sz w:val="20"/>
          <w:szCs w:val="20"/>
        </w:rPr>
        <w:t>Ámbito de aplicación</w:t>
      </w:r>
    </w:p>
    <w:p w14:paraId="7962A2FC" w14:textId="15492076" w:rsidR="00C213FA" w:rsidRPr="000001A2" w:rsidRDefault="00C213FA" w:rsidP="00C213FA">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w:t>
      </w:r>
      <w:r w:rsidR="00CB7258">
        <w:rPr>
          <w:rFonts w:ascii="Verdana" w:hAnsi="Verdana"/>
          <w:sz w:val="20"/>
          <w:szCs w:val="20"/>
        </w:rPr>
        <w:t>2</w:t>
      </w:r>
      <w:r w:rsidR="00A80A3E">
        <w:rPr>
          <w:rFonts w:ascii="Verdana" w:hAnsi="Verdana"/>
          <w:sz w:val="20"/>
          <w:szCs w:val="20"/>
        </w:rPr>
        <w:t>31</w:t>
      </w:r>
      <w:r>
        <w:rPr>
          <w:rFonts w:ascii="Verdana" w:hAnsi="Verdana"/>
          <w:sz w:val="20"/>
          <w:szCs w:val="20"/>
        </w:rPr>
        <w:t>.</w:t>
      </w:r>
    </w:p>
    <w:p w14:paraId="58138459" w14:textId="1F9E7875" w:rsidR="00C213FA" w:rsidRDefault="00B76745" w:rsidP="00C213FA">
      <w:pPr>
        <w:jc w:val="both"/>
        <w:rPr>
          <w:rFonts w:ascii="Verdana" w:hAnsi="Verdana"/>
          <w:sz w:val="20"/>
          <w:szCs w:val="20"/>
        </w:rPr>
      </w:pPr>
      <w:r w:rsidRPr="00B76745">
        <w:rPr>
          <w:rFonts w:ascii="Verdana" w:hAnsi="Verdana"/>
          <w:sz w:val="20"/>
          <w:szCs w:val="20"/>
        </w:rPr>
        <w:t xml:space="preserve">Las entidades obligadas a cumplir con las instrucciones </w:t>
      </w:r>
      <w:r w:rsidR="005472F8">
        <w:rPr>
          <w:rFonts w:ascii="Verdana" w:hAnsi="Verdana"/>
          <w:sz w:val="20"/>
          <w:szCs w:val="20"/>
        </w:rPr>
        <w:t>relacionadas con el riesgo de contraparte</w:t>
      </w:r>
      <w:r w:rsidRPr="00B76745">
        <w:rPr>
          <w:rFonts w:ascii="Verdana" w:hAnsi="Verdana"/>
          <w:sz w:val="20"/>
          <w:szCs w:val="20"/>
        </w:rPr>
        <w:t xml:space="preserve"> son las SCBV y las SCBA sometidas a la inspección y vigilancia de la SFC</w:t>
      </w:r>
      <w:r>
        <w:rPr>
          <w:rFonts w:ascii="Verdana" w:hAnsi="Verdana"/>
          <w:sz w:val="20"/>
          <w:szCs w:val="20"/>
        </w:rPr>
        <w:t>.</w:t>
      </w:r>
      <w:r w:rsidR="005472F8">
        <w:rPr>
          <w:rFonts w:ascii="Verdana" w:hAnsi="Verdana"/>
          <w:sz w:val="20"/>
          <w:szCs w:val="20"/>
        </w:rPr>
        <w:t xml:space="preserve"> </w:t>
      </w:r>
      <w:r w:rsidR="005472F8" w:rsidRPr="005472F8">
        <w:rPr>
          <w:rFonts w:ascii="Verdana" w:hAnsi="Verdana"/>
          <w:sz w:val="20"/>
          <w:szCs w:val="20"/>
        </w:rPr>
        <w:t>E</w:t>
      </w:r>
      <w:r w:rsidR="00EF3D8B">
        <w:rPr>
          <w:rFonts w:ascii="Verdana" w:hAnsi="Verdana"/>
          <w:sz w:val="20"/>
          <w:szCs w:val="20"/>
        </w:rPr>
        <w:t xml:space="preserve">stas instrucciones contienen </w:t>
      </w:r>
      <w:r w:rsidR="005472F8" w:rsidRPr="005472F8">
        <w:rPr>
          <w:rFonts w:ascii="Verdana" w:hAnsi="Verdana"/>
          <w:sz w:val="20"/>
          <w:szCs w:val="20"/>
        </w:rPr>
        <w:t>los parámetros mínimos que las SCBV y las SCBA deben observar para una gestión del riesgo de contraparte efectiva y utilizando eficientemente los recursos disponibles.</w:t>
      </w:r>
    </w:p>
    <w:p w14:paraId="7FC92C42" w14:textId="77777777" w:rsidR="00C213FA" w:rsidRPr="007735FE" w:rsidRDefault="00C213FA" w:rsidP="00C213FA">
      <w:pPr>
        <w:jc w:val="both"/>
        <w:rPr>
          <w:rFonts w:ascii="Verdana" w:hAnsi="Verdana"/>
          <w:b/>
          <w:bCs/>
          <w:sz w:val="20"/>
          <w:szCs w:val="20"/>
        </w:rPr>
      </w:pPr>
      <w:r>
        <w:rPr>
          <w:rFonts w:ascii="Verdana" w:hAnsi="Verdana"/>
          <w:b/>
          <w:bCs/>
          <w:sz w:val="20"/>
          <w:szCs w:val="20"/>
        </w:rPr>
        <w:t>Componentes</w:t>
      </w:r>
    </w:p>
    <w:p w14:paraId="63B3EFB0" w14:textId="0C352A93" w:rsidR="00C213FA" w:rsidRPr="000001A2" w:rsidRDefault="00C213FA" w:rsidP="00C213FA">
      <w:pPr>
        <w:spacing w:after="0"/>
        <w:jc w:val="both"/>
        <w:rPr>
          <w:rFonts w:ascii="Verdana" w:hAnsi="Verdana"/>
          <w:sz w:val="20"/>
          <w:szCs w:val="20"/>
        </w:rPr>
      </w:pPr>
      <w:r>
        <w:rPr>
          <w:rFonts w:ascii="Verdana" w:hAnsi="Verdana"/>
          <w:sz w:val="20"/>
          <w:szCs w:val="20"/>
        </w:rPr>
        <w:t>1.1.2.</w:t>
      </w:r>
      <w:r w:rsidR="001C77A4">
        <w:rPr>
          <w:rFonts w:ascii="Verdana" w:hAnsi="Verdana"/>
          <w:sz w:val="20"/>
          <w:szCs w:val="20"/>
        </w:rPr>
        <w:t>23</w:t>
      </w:r>
      <w:r w:rsidR="00A80A3E">
        <w:rPr>
          <w:rFonts w:ascii="Verdana" w:hAnsi="Verdana"/>
          <w:sz w:val="20"/>
          <w:szCs w:val="20"/>
        </w:rPr>
        <w:t>2</w:t>
      </w:r>
      <w:r>
        <w:rPr>
          <w:rFonts w:ascii="Verdana" w:hAnsi="Verdana"/>
          <w:sz w:val="20"/>
          <w:szCs w:val="20"/>
        </w:rPr>
        <w:t>.</w:t>
      </w:r>
    </w:p>
    <w:p w14:paraId="08FF1BC4" w14:textId="2C9590DB" w:rsidR="00C213FA" w:rsidRDefault="000C1481" w:rsidP="00C213FA">
      <w:pPr>
        <w:jc w:val="both"/>
        <w:rPr>
          <w:rFonts w:ascii="Verdana" w:hAnsi="Verdana"/>
          <w:sz w:val="20"/>
          <w:szCs w:val="20"/>
        </w:rPr>
      </w:pPr>
      <w:r w:rsidRPr="000C1481">
        <w:rPr>
          <w:rFonts w:ascii="Verdana" w:hAnsi="Verdana"/>
          <w:sz w:val="20"/>
          <w:szCs w:val="20"/>
        </w:rPr>
        <w:t>La entidad debe contar</w:t>
      </w:r>
      <w:r w:rsidR="00B55832">
        <w:rPr>
          <w:rFonts w:ascii="Verdana" w:hAnsi="Verdana"/>
          <w:sz w:val="20"/>
          <w:szCs w:val="20"/>
        </w:rPr>
        <w:t xml:space="preserve"> con</w:t>
      </w:r>
      <w:r w:rsidRPr="000C1481">
        <w:rPr>
          <w:rFonts w:ascii="Verdana" w:hAnsi="Verdana"/>
          <w:sz w:val="20"/>
          <w:szCs w:val="20"/>
        </w:rPr>
        <w:t xml:space="preserve"> una adecuada gestión del riesgo de contraparte que le permita tener una visión integral de todas las exposiciones a este riesgo, para lo cual debe </w:t>
      </w:r>
      <w:r w:rsidR="00727132">
        <w:rPr>
          <w:rFonts w:ascii="Verdana" w:hAnsi="Verdana"/>
          <w:sz w:val="20"/>
          <w:szCs w:val="20"/>
        </w:rPr>
        <w:t xml:space="preserve">establecer </w:t>
      </w:r>
      <w:r w:rsidRPr="000C1481">
        <w:rPr>
          <w:rFonts w:ascii="Verdana" w:hAnsi="Verdana"/>
          <w:sz w:val="20"/>
          <w:szCs w:val="20"/>
        </w:rPr>
        <w:t>políticas, procedimientos, límites y metodologías correspondientes para instrumentar los elementos para la adecuada gestión del riesgo de contraparte.</w:t>
      </w:r>
    </w:p>
    <w:p w14:paraId="4696A9B4" w14:textId="490E6215" w:rsidR="00107498" w:rsidRPr="000001A2" w:rsidRDefault="00107498" w:rsidP="00107498">
      <w:pPr>
        <w:spacing w:after="0"/>
        <w:jc w:val="both"/>
        <w:rPr>
          <w:rFonts w:ascii="Verdana" w:hAnsi="Verdana"/>
          <w:sz w:val="20"/>
          <w:szCs w:val="20"/>
        </w:rPr>
      </w:pPr>
      <w:r>
        <w:rPr>
          <w:rFonts w:ascii="Verdana" w:hAnsi="Verdana"/>
          <w:sz w:val="20"/>
          <w:szCs w:val="20"/>
        </w:rPr>
        <w:t>1.1.2.23</w:t>
      </w:r>
      <w:r w:rsidR="00A80A3E">
        <w:rPr>
          <w:rFonts w:ascii="Verdana" w:hAnsi="Verdana"/>
          <w:sz w:val="20"/>
          <w:szCs w:val="20"/>
        </w:rPr>
        <w:t>3</w:t>
      </w:r>
      <w:r>
        <w:rPr>
          <w:rFonts w:ascii="Verdana" w:hAnsi="Verdana"/>
          <w:sz w:val="20"/>
          <w:szCs w:val="20"/>
        </w:rPr>
        <w:t>.</w:t>
      </w:r>
    </w:p>
    <w:p w14:paraId="1CF9317D" w14:textId="39FEAEE8" w:rsidR="00107498" w:rsidRDefault="007D75B4" w:rsidP="00107498">
      <w:pPr>
        <w:jc w:val="both"/>
        <w:rPr>
          <w:rFonts w:ascii="Verdana" w:hAnsi="Verdana"/>
          <w:sz w:val="20"/>
          <w:szCs w:val="20"/>
        </w:rPr>
      </w:pPr>
      <w:r w:rsidRPr="007D75B4">
        <w:rPr>
          <w:rFonts w:ascii="Verdana" w:hAnsi="Verdana"/>
          <w:sz w:val="20"/>
          <w:szCs w:val="20"/>
        </w:rPr>
        <w:t xml:space="preserve">La gestión de este riesgo debe ser acorde con el perfil y marco de apetito de riesgo, el plan de negocio, la naturaleza, el tamaño y la complejidad y diversidad de las actividades que desarrolle la entidad, así como con su importancia por tamaño e interconectividad en el sistema financiero y los entornos económicos y de los mercados en donde esta </w:t>
      </w:r>
      <w:proofErr w:type="spellStart"/>
      <w:r w:rsidRPr="007D75B4">
        <w:rPr>
          <w:rFonts w:ascii="Verdana" w:hAnsi="Verdana"/>
          <w:sz w:val="20"/>
          <w:szCs w:val="20"/>
        </w:rPr>
        <w:t>opera</w:t>
      </w:r>
      <w:proofErr w:type="spellEnd"/>
      <w:r w:rsidRPr="007D75B4">
        <w:rPr>
          <w:rFonts w:ascii="Verdana" w:hAnsi="Verdana"/>
          <w:sz w:val="20"/>
          <w:szCs w:val="20"/>
        </w:rPr>
        <w:t>.</w:t>
      </w:r>
    </w:p>
    <w:p w14:paraId="0F15FFAD" w14:textId="6B64401F" w:rsidR="00107498" w:rsidRPr="000001A2" w:rsidRDefault="00107498" w:rsidP="00107498">
      <w:pPr>
        <w:spacing w:after="0"/>
        <w:jc w:val="both"/>
        <w:rPr>
          <w:rFonts w:ascii="Verdana" w:hAnsi="Verdana"/>
          <w:sz w:val="20"/>
          <w:szCs w:val="20"/>
        </w:rPr>
      </w:pPr>
      <w:r>
        <w:rPr>
          <w:rFonts w:ascii="Verdana" w:hAnsi="Verdana"/>
          <w:sz w:val="20"/>
          <w:szCs w:val="20"/>
        </w:rPr>
        <w:t>1.1.2.23</w:t>
      </w:r>
      <w:r w:rsidR="00A80A3E">
        <w:rPr>
          <w:rFonts w:ascii="Verdana" w:hAnsi="Verdana"/>
          <w:sz w:val="20"/>
          <w:szCs w:val="20"/>
        </w:rPr>
        <w:t>4</w:t>
      </w:r>
      <w:r>
        <w:rPr>
          <w:rFonts w:ascii="Verdana" w:hAnsi="Verdana"/>
          <w:sz w:val="20"/>
          <w:szCs w:val="20"/>
        </w:rPr>
        <w:t>.</w:t>
      </w:r>
    </w:p>
    <w:p w14:paraId="7486D20B" w14:textId="5DED65A4" w:rsidR="00107498" w:rsidRDefault="006051AC" w:rsidP="00C213FA">
      <w:pPr>
        <w:jc w:val="both"/>
        <w:rPr>
          <w:rFonts w:ascii="Verdana" w:hAnsi="Verdana"/>
          <w:sz w:val="20"/>
          <w:szCs w:val="20"/>
        </w:rPr>
      </w:pPr>
      <w:r w:rsidRPr="006051AC">
        <w:rPr>
          <w:rFonts w:ascii="Verdana" w:hAnsi="Verdana"/>
          <w:sz w:val="20"/>
          <w:szCs w:val="20"/>
        </w:rPr>
        <w:t xml:space="preserve">En adición a los requisitos que resulten aplicables para </w:t>
      </w:r>
      <w:r w:rsidR="00373E37">
        <w:rPr>
          <w:rFonts w:ascii="Verdana" w:hAnsi="Verdana"/>
          <w:sz w:val="20"/>
          <w:szCs w:val="20"/>
        </w:rPr>
        <w:t>la gestión d</w:t>
      </w:r>
      <w:r w:rsidRPr="006051AC">
        <w:rPr>
          <w:rFonts w:ascii="Verdana" w:hAnsi="Verdana"/>
          <w:sz w:val="20"/>
          <w:szCs w:val="20"/>
        </w:rPr>
        <w:t xml:space="preserve">el riesgo de contraparte de la </w:t>
      </w:r>
      <w:r w:rsidR="00190BA0">
        <w:rPr>
          <w:rFonts w:ascii="Verdana" w:hAnsi="Verdana"/>
          <w:sz w:val="20"/>
          <w:szCs w:val="20"/>
        </w:rPr>
        <w:t>sección 1</w:t>
      </w:r>
      <w:r w:rsidRPr="006051AC">
        <w:rPr>
          <w:rFonts w:ascii="Verdana" w:hAnsi="Verdana"/>
          <w:sz w:val="20"/>
          <w:szCs w:val="20"/>
        </w:rPr>
        <w:t xml:space="preserve"> del presente </w:t>
      </w:r>
      <w:r w:rsidR="00190BA0">
        <w:rPr>
          <w:rFonts w:ascii="Verdana" w:hAnsi="Verdana"/>
          <w:sz w:val="20"/>
          <w:szCs w:val="20"/>
        </w:rPr>
        <w:t>c</w:t>
      </w:r>
      <w:r w:rsidRPr="006051AC">
        <w:rPr>
          <w:rFonts w:ascii="Verdana" w:hAnsi="Verdana"/>
          <w:sz w:val="20"/>
          <w:szCs w:val="20"/>
        </w:rPr>
        <w:t>apítulo, las políticas y los procedimientos para la gestión del riesgo de contraparte</w:t>
      </w:r>
      <w:r w:rsidR="00144B06">
        <w:rPr>
          <w:rFonts w:ascii="Verdana" w:hAnsi="Verdana"/>
          <w:sz w:val="20"/>
          <w:szCs w:val="20"/>
        </w:rPr>
        <w:t>, la entidad</w:t>
      </w:r>
      <w:r w:rsidRPr="006051AC">
        <w:rPr>
          <w:rFonts w:ascii="Verdana" w:hAnsi="Verdana"/>
          <w:sz w:val="20"/>
          <w:szCs w:val="20"/>
        </w:rPr>
        <w:t xml:space="preserve"> debe adoptar como mínimo los siguientes requisitos:</w:t>
      </w:r>
    </w:p>
    <w:p w14:paraId="4C1938F8" w14:textId="77777777" w:rsidR="00350C22" w:rsidRDefault="00350C22" w:rsidP="00350C22">
      <w:pPr>
        <w:pStyle w:val="Prrafodelista"/>
        <w:numPr>
          <w:ilvl w:val="0"/>
          <w:numId w:val="75"/>
        </w:numPr>
        <w:ind w:left="567" w:hanging="567"/>
        <w:jc w:val="both"/>
        <w:rPr>
          <w:rFonts w:ascii="Verdana" w:hAnsi="Verdana"/>
          <w:sz w:val="20"/>
          <w:szCs w:val="20"/>
          <w:lang w:val="es-ES"/>
        </w:rPr>
      </w:pPr>
      <w:r w:rsidRPr="00350C22">
        <w:rPr>
          <w:rFonts w:ascii="Verdana" w:hAnsi="Verdana"/>
          <w:sz w:val="20"/>
          <w:szCs w:val="20"/>
          <w:lang w:val="es-ES"/>
        </w:rPr>
        <w:t>Establecer los mercados en los cuales puede actuar la entidad y sus clientes, así como el tipo de valores o activos autorizados.</w:t>
      </w:r>
    </w:p>
    <w:p w14:paraId="0EECF1C2" w14:textId="77777777" w:rsidR="00350C22" w:rsidRDefault="00350C22" w:rsidP="00350C22">
      <w:pPr>
        <w:pStyle w:val="Prrafodelista"/>
        <w:ind w:left="567"/>
        <w:jc w:val="both"/>
        <w:rPr>
          <w:rFonts w:ascii="Verdana" w:hAnsi="Verdana"/>
          <w:sz w:val="20"/>
          <w:szCs w:val="20"/>
          <w:lang w:val="es-ES"/>
        </w:rPr>
      </w:pPr>
    </w:p>
    <w:p w14:paraId="51C60896" w14:textId="77777777" w:rsidR="00350C22" w:rsidRDefault="00350C22" w:rsidP="00350C22">
      <w:pPr>
        <w:pStyle w:val="Prrafodelista"/>
        <w:numPr>
          <w:ilvl w:val="0"/>
          <w:numId w:val="75"/>
        </w:numPr>
        <w:ind w:left="567" w:hanging="567"/>
        <w:jc w:val="both"/>
        <w:rPr>
          <w:rFonts w:ascii="Verdana" w:hAnsi="Verdana"/>
          <w:sz w:val="20"/>
          <w:szCs w:val="20"/>
          <w:lang w:val="es-ES"/>
        </w:rPr>
      </w:pPr>
      <w:r w:rsidRPr="00350C22">
        <w:rPr>
          <w:rFonts w:ascii="Verdana" w:hAnsi="Verdana"/>
          <w:sz w:val="20"/>
          <w:szCs w:val="20"/>
          <w:lang w:val="es-ES"/>
        </w:rPr>
        <w:t xml:space="preserve">Definir criterios para la exigencia y aceptación de garantías para cada tipo de operación de sus clientes según su plazo, mercado y tipo de valor, instrumento o </w:t>
      </w:r>
      <w:r w:rsidRPr="00350C22">
        <w:rPr>
          <w:rFonts w:ascii="Verdana" w:hAnsi="Verdana"/>
          <w:sz w:val="20"/>
          <w:szCs w:val="20"/>
          <w:lang w:val="es-ES"/>
        </w:rPr>
        <w:lastRenderedPageBreak/>
        <w:t xml:space="preserve">activo, atendiendo como mínimo la volatilidad y liquidez de </w:t>
      </w:r>
      <w:proofErr w:type="gramStart"/>
      <w:r w:rsidRPr="00350C22">
        <w:rPr>
          <w:rFonts w:ascii="Verdana" w:hAnsi="Verdana"/>
          <w:sz w:val="20"/>
          <w:szCs w:val="20"/>
          <w:lang w:val="es-ES"/>
        </w:rPr>
        <w:t>las mismas</w:t>
      </w:r>
      <w:proofErr w:type="gramEnd"/>
      <w:r w:rsidRPr="00350C22">
        <w:rPr>
          <w:rFonts w:ascii="Verdana" w:hAnsi="Verdana"/>
          <w:sz w:val="20"/>
          <w:szCs w:val="20"/>
          <w:lang w:val="es-ES"/>
        </w:rPr>
        <w:t xml:space="preserve">. Lo anterior, sin perjuicio de las garantías exigidas por los administradores de los sistemas de negociación de valores, sistemas de registro de operaciones sobre valores, bolsas de valores, bolsas de bienes y productos agropecuarios, agroindustriales o de otros </w:t>
      </w:r>
      <w:proofErr w:type="spellStart"/>
      <w:r w:rsidRPr="007B2A48">
        <w:rPr>
          <w:rFonts w:ascii="Verdana" w:hAnsi="Verdana"/>
          <w:i/>
          <w:iCs/>
          <w:sz w:val="20"/>
          <w:szCs w:val="20"/>
          <w:lang w:val="es-ES"/>
        </w:rPr>
        <w:t>commodities</w:t>
      </w:r>
      <w:proofErr w:type="spellEnd"/>
      <w:r w:rsidRPr="00350C22">
        <w:rPr>
          <w:rFonts w:ascii="Verdana" w:hAnsi="Verdana"/>
          <w:sz w:val="20"/>
          <w:szCs w:val="20"/>
          <w:lang w:val="es-ES"/>
        </w:rPr>
        <w:t>, sistemas de compensación y liquidación de operaciones y cámaras de riesgo central de contraparte.</w:t>
      </w:r>
    </w:p>
    <w:p w14:paraId="35444EEA" w14:textId="77777777" w:rsidR="00350C22" w:rsidRPr="00350C22" w:rsidRDefault="00350C22" w:rsidP="00350C22">
      <w:pPr>
        <w:pStyle w:val="Prrafodelista"/>
        <w:rPr>
          <w:rFonts w:ascii="Verdana" w:hAnsi="Verdana"/>
          <w:sz w:val="20"/>
          <w:szCs w:val="20"/>
          <w:lang w:val="es-ES"/>
        </w:rPr>
      </w:pPr>
    </w:p>
    <w:p w14:paraId="4A852B8F" w14:textId="77777777" w:rsidR="00350C22" w:rsidRDefault="00350C22" w:rsidP="00350C22">
      <w:pPr>
        <w:pStyle w:val="Prrafodelista"/>
        <w:numPr>
          <w:ilvl w:val="0"/>
          <w:numId w:val="75"/>
        </w:numPr>
        <w:ind w:left="567" w:hanging="567"/>
        <w:jc w:val="both"/>
        <w:rPr>
          <w:rFonts w:ascii="Verdana" w:hAnsi="Verdana"/>
          <w:sz w:val="20"/>
          <w:szCs w:val="20"/>
          <w:lang w:val="es-ES"/>
        </w:rPr>
      </w:pPr>
      <w:r w:rsidRPr="00350C22">
        <w:rPr>
          <w:rFonts w:ascii="Verdana" w:hAnsi="Verdana"/>
          <w:sz w:val="20"/>
          <w:szCs w:val="20"/>
          <w:lang w:val="es-ES"/>
        </w:rPr>
        <w:t>Incluir planes de recuperación de cartera cuando se presentan incumplimientos, incorporando los recursos humanos, financieros y legales necesarios para ejecutarlos.</w:t>
      </w:r>
    </w:p>
    <w:p w14:paraId="71E4E8BC" w14:textId="77777777" w:rsidR="00350C22" w:rsidRPr="00350C22" w:rsidRDefault="00350C22" w:rsidP="00350C22">
      <w:pPr>
        <w:pStyle w:val="Prrafodelista"/>
        <w:rPr>
          <w:rFonts w:ascii="Verdana" w:hAnsi="Verdana"/>
          <w:sz w:val="20"/>
          <w:szCs w:val="20"/>
          <w:lang w:val="es-ES"/>
        </w:rPr>
      </w:pPr>
    </w:p>
    <w:p w14:paraId="5AC3B640" w14:textId="4A8383B0" w:rsidR="0011028A" w:rsidRDefault="00350C22" w:rsidP="00350C22">
      <w:pPr>
        <w:pStyle w:val="Prrafodelista"/>
        <w:numPr>
          <w:ilvl w:val="0"/>
          <w:numId w:val="75"/>
        </w:numPr>
        <w:ind w:left="567" w:hanging="567"/>
        <w:jc w:val="both"/>
        <w:rPr>
          <w:rFonts w:ascii="Verdana" w:hAnsi="Verdana"/>
          <w:sz w:val="20"/>
          <w:szCs w:val="20"/>
          <w:lang w:val="es-ES"/>
        </w:rPr>
      </w:pPr>
      <w:r w:rsidRPr="00350C22">
        <w:rPr>
          <w:rFonts w:ascii="Verdana" w:hAnsi="Verdana"/>
          <w:sz w:val="20"/>
          <w:szCs w:val="20"/>
          <w:lang w:val="es-ES"/>
        </w:rPr>
        <w:t xml:space="preserve">Suministrar de manera veraz y oportuna la información sobre el incumplimiento de las operaciones de sus clientes, así como realizar consultas de la información de los </w:t>
      </w:r>
      <w:r w:rsidR="008F6AE6">
        <w:rPr>
          <w:rFonts w:ascii="Verdana" w:hAnsi="Verdana"/>
          <w:sz w:val="20"/>
          <w:szCs w:val="20"/>
          <w:lang w:val="es-ES"/>
        </w:rPr>
        <w:t>clientes</w:t>
      </w:r>
      <w:r w:rsidRPr="00350C22">
        <w:rPr>
          <w:rFonts w:ascii="Verdana" w:hAnsi="Verdana"/>
          <w:sz w:val="20"/>
          <w:szCs w:val="20"/>
          <w:lang w:val="es-ES"/>
        </w:rPr>
        <w:t>, atendiendo los requisitos establecidos en la normativa vigente en relación con el reporte y consulta de información a través de bases de datos personales.</w:t>
      </w:r>
    </w:p>
    <w:p w14:paraId="2133A68B" w14:textId="77777777" w:rsidR="0011028A" w:rsidRPr="0011028A" w:rsidRDefault="0011028A" w:rsidP="0011028A">
      <w:pPr>
        <w:pStyle w:val="Prrafodelista"/>
        <w:rPr>
          <w:rFonts w:ascii="Verdana" w:hAnsi="Verdana"/>
          <w:sz w:val="20"/>
          <w:szCs w:val="20"/>
          <w:lang w:val="es-ES"/>
        </w:rPr>
      </w:pPr>
    </w:p>
    <w:p w14:paraId="2DB56911" w14:textId="1BB5AEF5" w:rsidR="006051AC" w:rsidRPr="00B52F7F" w:rsidRDefault="00350C22" w:rsidP="00C213FA">
      <w:pPr>
        <w:pStyle w:val="Prrafodelista"/>
        <w:numPr>
          <w:ilvl w:val="0"/>
          <w:numId w:val="75"/>
        </w:numPr>
        <w:ind w:left="567" w:hanging="567"/>
        <w:jc w:val="both"/>
        <w:rPr>
          <w:rFonts w:ascii="Verdana" w:hAnsi="Verdana"/>
          <w:sz w:val="20"/>
          <w:szCs w:val="20"/>
          <w:lang w:val="es-ES"/>
        </w:rPr>
      </w:pPr>
      <w:r w:rsidRPr="0011028A">
        <w:rPr>
          <w:rFonts w:ascii="Verdana" w:hAnsi="Verdana"/>
          <w:sz w:val="20"/>
          <w:szCs w:val="20"/>
          <w:lang w:val="es-ES"/>
        </w:rPr>
        <w:t>Monitorear y analizar cómo la liquidez de las posiciones de los clientes en operaciones pendientes de cumplimiento podría generar riesgo de contraparte.</w:t>
      </w:r>
    </w:p>
    <w:p w14:paraId="3DD8E61A" w14:textId="77777777" w:rsidR="00C213FA" w:rsidRPr="007735FE" w:rsidRDefault="00C213FA" w:rsidP="00C213FA">
      <w:pPr>
        <w:jc w:val="both"/>
        <w:rPr>
          <w:rFonts w:ascii="Verdana" w:hAnsi="Verdana"/>
          <w:b/>
          <w:bCs/>
          <w:sz w:val="20"/>
          <w:szCs w:val="20"/>
        </w:rPr>
      </w:pPr>
      <w:r>
        <w:rPr>
          <w:rFonts w:ascii="Verdana" w:hAnsi="Verdana"/>
          <w:b/>
          <w:bCs/>
          <w:sz w:val="20"/>
          <w:szCs w:val="20"/>
        </w:rPr>
        <w:t>Etapas</w:t>
      </w:r>
    </w:p>
    <w:p w14:paraId="45003A41" w14:textId="21D9B08D" w:rsidR="00C213FA" w:rsidRPr="00443A04" w:rsidRDefault="00C213FA" w:rsidP="00C213FA">
      <w:pPr>
        <w:spacing w:after="0"/>
        <w:jc w:val="both"/>
        <w:rPr>
          <w:rFonts w:ascii="Verdana" w:hAnsi="Verdana"/>
          <w:sz w:val="20"/>
          <w:szCs w:val="20"/>
        </w:rPr>
      </w:pPr>
      <w:r>
        <w:rPr>
          <w:rFonts w:ascii="Verdana" w:hAnsi="Verdana"/>
          <w:sz w:val="20"/>
          <w:szCs w:val="20"/>
        </w:rPr>
        <w:t>1.1.2.</w:t>
      </w:r>
      <w:r w:rsidR="000E3584">
        <w:rPr>
          <w:rFonts w:ascii="Verdana" w:hAnsi="Verdana"/>
          <w:sz w:val="20"/>
          <w:szCs w:val="20"/>
        </w:rPr>
        <w:t>23</w:t>
      </w:r>
      <w:r w:rsidR="00A80A3E">
        <w:rPr>
          <w:rFonts w:ascii="Verdana" w:hAnsi="Verdana"/>
          <w:sz w:val="20"/>
          <w:szCs w:val="20"/>
        </w:rPr>
        <w:t>5</w:t>
      </w:r>
      <w:r>
        <w:rPr>
          <w:rFonts w:ascii="Verdana" w:hAnsi="Verdana"/>
          <w:sz w:val="20"/>
          <w:szCs w:val="20"/>
        </w:rPr>
        <w:t>.</w:t>
      </w:r>
    </w:p>
    <w:p w14:paraId="34C79C0B" w14:textId="6360DD7D" w:rsidR="00C213FA" w:rsidRPr="00443A04" w:rsidRDefault="00C213FA" w:rsidP="00C213FA">
      <w:pPr>
        <w:jc w:val="both"/>
        <w:rPr>
          <w:rFonts w:ascii="Verdana" w:hAnsi="Verdana"/>
          <w:sz w:val="20"/>
          <w:szCs w:val="20"/>
        </w:rPr>
      </w:pPr>
      <w:r w:rsidRPr="00640CED">
        <w:rPr>
          <w:rFonts w:ascii="Verdana" w:hAnsi="Verdana"/>
          <w:sz w:val="20"/>
          <w:szCs w:val="20"/>
        </w:rPr>
        <w:t>Para</w:t>
      </w:r>
      <w:r w:rsidR="00B0731E" w:rsidRPr="00B0731E">
        <w:t xml:space="preserve"> </w:t>
      </w:r>
      <w:r w:rsidR="00B0731E" w:rsidRPr="00B0731E">
        <w:rPr>
          <w:rFonts w:ascii="Verdana" w:hAnsi="Verdana"/>
          <w:sz w:val="20"/>
          <w:szCs w:val="20"/>
        </w:rPr>
        <w:t>la administración del riesgo de contraparte, la entidad debe desarrollar las siguientes etapas:</w:t>
      </w:r>
    </w:p>
    <w:p w14:paraId="68BA0FF6" w14:textId="77777777" w:rsidR="00C213FA" w:rsidRPr="00732E97" w:rsidRDefault="00C213FA" w:rsidP="00C213FA">
      <w:pPr>
        <w:pStyle w:val="Prrafodelista"/>
        <w:numPr>
          <w:ilvl w:val="0"/>
          <w:numId w:val="2"/>
        </w:numPr>
        <w:ind w:left="284" w:hanging="284"/>
        <w:jc w:val="both"/>
        <w:rPr>
          <w:rFonts w:ascii="Verdana" w:hAnsi="Verdana"/>
          <w:b/>
          <w:bCs/>
          <w:sz w:val="20"/>
          <w:szCs w:val="20"/>
        </w:rPr>
      </w:pPr>
      <w:r>
        <w:rPr>
          <w:rFonts w:ascii="Verdana" w:hAnsi="Verdana"/>
          <w:b/>
          <w:bCs/>
          <w:sz w:val="20"/>
          <w:szCs w:val="20"/>
        </w:rPr>
        <w:t>Identificación</w:t>
      </w:r>
    </w:p>
    <w:p w14:paraId="19B8B071" w14:textId="1A1D722A" w:rsidR="000E3584" w:rsidRPr="0086035E" w:rsidRDefault="000E3584" w:rsidP="000E358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23</w:t>
      </w:r>
      <w:r w:rsidR="00A80A3E">
        <w:rPr>
          <w:rFonts w:ascii="Verdana" w:hAnsi="Verdana"/>
          <w:sz w:val="20"/>
          <w:szCs w:val="20"/>
        </w:rPr>
        <w:t>6</w:t>
      </w:r>
      <w:r w:rsidRPr="0086035E">
        <w:rPr>
          <w:rFonts w:ascii="Verdana" w:hAnsi="Verdana"/>
          <w:sz w:val="20"/>
          <w:szCs w:val="20"/>
        </w:rPr>
        <w:t>.</w:t>
      </w:r>
    </w:p>
    <w:p w14:paraId="5D558C28" w14:textId="592380A6" w:rsidR="000E3584" w:rsidRDefault="00BF06A8" w:rsidP="000E3584">
      <w:pPr>
        <w:jc w:val="both"/>
        <w:rPr>
          <w:rFonts w:ascii="Verdana" w:hAnsi="Verdana"/>
          <w:sz w:val="20"/>
          <w:szCs w:val="20"/>
        </w:rPr>
      </w:pPr>
      <w:r w:rsidRPr="00BF06A8">
        <w:rPr>
          <w:rFonts w:ascii="Verdana" w:hAnsi="Verdana"/>
          <w:sz w:val="20"/>
          <w:szCs w:val="20"/>
        </w:rPr>
        <w:t>La entidad debe identificar el riesgo de contraparte al que está expuesta en función del tipo de posiciones asumidas con sus contrapartes (tanto en sus operaciones por cuenta propia como por cuenta de sus clientes), los tipos de productos y mercados en los que participan, de conformidad con las operaciones autorizadas, así como con los factores generales y particulares que inciden en el perfil de riesgo de sus contrapartes.</w:t>
      </w:r>
      <w:r>
        <w:rPr>
          <w:rFonts w:ascii="Verdana" w:hAnsi="Verdana"/>
          <w:sz w:val="20"/>
          <w:szCs w:val="20"/>
        </w:rPr>
        <w:t xml:space="preserve"> </w:t>
      </w:r>
    </w:p>
    <w:p w14:paraId="35EEC1B5" w14:textId="510F336F" w:rsidR="000E3584" w:rsidRPr="0086035E" w:rsidRDefault="000E3584" w:rsidP="000E358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23</w:t>
      </w:r>
      <w:r w:rsidR="005D3550">
        <w:rPr>
          <w:rFonts w:ascii="Verdana" w:hAnsi="Verdana"/>
          <w:sz w:val="20"/>
          <w:szCs w:val="20"/>
        </w:rPr>
        <w:t>7</w:t>
      </w:r>
      <w:r w:rsidRPr="0086035E">
        <w:rPr>
          <w:rFonts w:ascii="Verdana" w:hAnsi="Verdana"/>
          <w:sz w:val="20"/>
          <w:szCs w:val="20"/>
        </w:rPr>
        <w:t>.</w:t>
      </w:r>
    </w:p>
    <w:p w14:paraId="238A1B2A" w14:textId="6FF0CEC9" w:rsidR="000E3584" w:rsidRDefault="00D938E5" w:rsidP="000E3584">
      <w:pPr>
        <w:jc w:val="both"/>
        <w:rPr>
          <w:rFonts w:ascii="Verdana" w:hAnsi="Verdana"/>
          <w:sz w:val="20"/>
          <w:szCs w:val="20"/>
        </w:rPr>
      </w:pPr>
      <w:r w:rsidRPr="00D938E5">
        <w:rPr>
          <w:rFonts w:ascii="Verdana" w:hAnsi="Verdana"/>
          <w:sz w:val="20"/>
          <w:szCs w:val="20"/>
        </w:rPr>
        <w:t xml:space="preserve">La etapa de identificación </w:t>
      </w:r>
      <w:r w:rsidR="001613D2">
        <w:rPr>
          <w:rFonts w:ascii="Verdana" w:hAnsi="Verdana"/>
          <w:sz w:val="20"/>
          <w:szCs w:val="20"/>
        </w:rPr>
        <w:t xml:space="preserve">se </w:t>
      </w:r>
      <w:r w:rsidRPr="00D938E5">
        <w:rPr>
          <w:rFonts w:ascii="Verdana" w:hAnsi="Verdana"/>
          <w:sz w:val="20"/>
          <w:szCs w:val="20"/>
        </w:rPr>
        <w:t>debe realizar previamente a la creación de nuevos productos o la incursión en nuevas operaciones o actividades, de tal forma que permita establecer la exposición que se puede generar en los mismos al riesgo de contraparte.</w:t>
      </w:r>
    </w:p>
    <w:p w14:paraId="0440EF01" w14:textId="432E2CBE" w:rsidR="000E3584" w:rsidRPr="0086035E" w:rsidRDefault="000E3584" w:rsidP="000E358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23</w:t>
      </w:r>
      <w:r w:rsidR="005D3550">
        <w:rPr>
          <w:rFonts w:ascii="Verdana" w:hAnsi="Verdana"/>
          <w:sz w:val="20"/>
          <w:szCs w:val="20"/>
        </w:rPr>
        <w:t>8</w:t>
      </w:r>
      <w:r w:rsidRPr="0086035E">
        <w:rPr>
          <w:rFonts w:ascii="Verdana" w:hAnsi="Verdana"/>
          <w:sz w:val="20"/>
          <w:szCs w:val="20"/>
        </w:rPr>
        <w:t>.</w:t>
      </w:r>
    </w:p>
    <w:p w14:paraId="0376141F" w14:textId="21544CB5" w:rsidR="00C9451A" w:rsidRPr="009852C8" w:rsidRDefault="007C3166" w:rsidP="00C9451A">
      <w:pPr>
        <w:jc w:val="both"/>
        <w:rPr>
          <w:rFonts w:ascii="Verdana" w:hAnsi="Verdana"/>
          <w:sz w:val="20"/>
          <w:szCs w:val="20"/>
        </w:rPr>
      </w:pPr>
      <w:r w:rsidRPr="007C3166">
        <w:rPr>
          <w:rFonts w:ascii="Verdana" w:hAnsi="Verdana"/>
          <w:sz w:val="20"/>
          <w:szCs w:val="20"/>
        </w:rPr>
        <w:t>Las entidades deben identificar y evaluar los eventos o circunstancias en los cuales podría materializarse el riesgo de contraparte</w:t>
      </w:r>
      <w:r w:rsidR="00C9451A" w:rsidRPr="00C06A33">
        <w:rPr>
          <w:rFonts w:ascii="Verdana" w:hAnsi="Verdana"/>
          <w:sz w:val="20"/>
          <w:szCs w:val="20"/>
        </w:rPr>
        <w:t>.</w:t>
      </w:r>
    </w:p>
    <w:p w14:paraId="63EE9026" w14:textId="718F51BD" w:rsidR="00C9451A" w:rsidRPr="009852C8" w:rsidRDefault="00A64672" w:rsidP="00C9451A">
      <w:pPr>
        <w:pStyle w:val="Prrafodelista"/>
        <w:numPr>
          <w:ilvl w:val="0"/>
          <w:numId w:val="6"/>
        </w:numPr>
        <w:ind w:left="567" w:hanging="283"/>
        <w:jc w:val="both"/>
        <w:rPr>
          <w:rFonts w:ascii="Verdana" w:hAnsi="Verdana"/>
          <w:b/>
          <w:bCs/>
          <w:sz w:val="20"/>
          <w:szCs w:val="20"/>
        </w:rPr>
      </w:pPr>
      <w:r>
        <w:rPr>
          <w:rFonts w:ascii="Verdana" w:hAnsi="Verdana"/>
          <w:b/>
          <w:bCs/>
          <w:sz w:val="20"/>
          <w:szCs w:val="20"/>
        </w:rPr>
        <w:t>Factores de riesgo</w:t>
      </w:r>
    </w:p>
    <w:p w14:paraId="2999C3BF" w14:textId="47A008DC" w:rsidR="00AD3C87" w:rsidRPr="0086035E" w:rsidRDefault="00C9451A" w:rsidP="00AD3C87">
      <w:pPr>
        <w:spacing w:after="0"/>
        <w:jc w:val="both"/>
        <w:rPr>
          <w:rFonts w:ascii="Verdana" w:hAnsi="Verdana"/>
          <w:sz w:val="20"/>
          <w:szCs w:val="20"/>
        </w:rPr>
      </w:pPr>
      <w:r w:rsidRPr="0086035E">
        <w:rPr>
          <w:rFonts w:ascii="Verdana" w:hAnsi="Verdana"/>
          <w:sz w:val="20"/>
          <w:szCs w:val="20"/>
        </w:rPr>
        <w:t>1</w:t>
      </w:r>
      <w:r w:rsidR="00AD3C87" w:rsidRPr="0086035E">
        <w:rPr>
          <w:rFonts w:ascii="Verdana" w:hAnsi="Verdana"/>
          <w:sz w:val="20"/>
          <w:szCs w:val="20"/>
        </w:rPr>
        <w:t>.1.</w:t>
      </w:r>
      <w:r w:rsidR="00AD3C87">
        <w:rPr>
          <w:rFonts w:ascii="Verdana" w:hAnsi="Verdana"/>
          <w:sz w:val="20"/>
          <w:szCs w:val="20"/>
        </w:rPr>
        <w:t>2</w:t>
      </w:r>
      <w:r w:rsidR="00AD3C87" w:rsidRPr="0086035E">
        <w:rPr>
          <w:rFonts w:ascii="Verdana" w:hAnsi="Verdana"/>
          <w:sz w:val="20"/>
          <w:szCs w:val="20"/>
        </w:rPr>
        <w:t>.</w:t>
      </w:r>
      <w:r w:rsidR="00AD3C87">
        <w:rPr>
          <w:rFonts w:ascii="Verdana" w:hAnsi="Verdana"/>
          <w:sz w:val="20"/>
          <w:szCs w:val="20"/>
        </w:rPr>
        <w:t>23</w:t>
      </w:r>
      <w:r w:rsidR="005D3550">
        <w:rPr>
          <w:rFonts w:ascii="Verdana" w:hAnsi="Verdana"/>
          <w:sz w:val="20"/>
          <w:szCs w:val="20"/>
        </w:rPr>
        <w:t>9</w:t>
      </w:r>
      <w:r w:rsidR="00AD3C87" w:rsidRPr="0086035E">
        <w:rPr>
          <w:rFonts w:ascii="Verdana" w:hAnsi="Verdana"/>
          <w:sz w:val="20"/>
          <w:szCs w:val="20"/>
        </w:rPr>
        <w:t>.</w:t>
      </w:r>
    </w:p>
    <w:p w14:paraId="49BE7047" w14:textId="667E6CFE" w:rsidR="00C9451A" w:rsidRDefault="00501C5F" w:rsidP="00C9451A">
      <w:pPr>
        <w:jc w:val="both"/>
        <w:rPr>
          <w:rFonts w:ascii="Verdana" w:hAnsi="Verdana"/>
          <w:sz w:val="20"/>
          <w:szCs w:val="20"/>
        </w:rPr>
      </w:pPr>
      <w:r w:rsidRPr="00501C5F">
        <w:rPr>
          <w:rFonts w:ascii="Verdana" w:hAnsi="Verdana"/>
          <w:sz w:val="20"/>
          <w:szCs w:val="20"/>
        </w:rPr>
        <w:t>En esta etapa las entidades deben identificar los factores de riesgo de contraparte, teniendo en cuenta como mínimo lo siguiente</w:t>
      </w:r>
      <w:r>
        <w:rPr>
          <w:rFonts w:ascii="Verdana" w:hAnsi="Verdana"/>
          <w:sz w:val="20"/>
          <w:szCs w:val="20"/>
        </w:rPr>
        <w:t>:</w:t>
      </w:r>
    </w:p>
    <w:p w14:paraId="5D7A743F" w14:textId="5520938A" w:rsidR="00F15CB1" w:rsidRDefault="00CF6D4D" w:rsidP="00CF6D4D">
      <w:pPr>
        <w:pStyle w:val="Prrafodelista"/>
        <w:numPr>
          <w:ilvl w:val="0"/>
          <w:numId w:val="76"/>
        </w:numPr>
        <w:ind w:left="567" w:hanging="567"/>
        <w:jc w:val="both"/>
        <w:rPr>
          <w:rFonts w:ascii="Verdana" w:hAnsi="Verdana"/>
          <w:sz w:val="20"/>
          <w:szCs w:val="20"/>
          <w:lang w:val="es-ES"/>
        </w:rPr>
      </w:pPr>
      <w:r w:rsidRPr="00CF6D4D">
        <w:rPr>
          <w:rFonts w:ascii="Verdana" w:hAnsi="Verdana"/>
          <w:sz w:val="20"/>
          <w:szCs w:val="20"/>
          <w:lang w:val="es-ES"/>
        </w:rPr>
        <w:t>Operaciones y mercados</w:t>
      </w:r>
      <w:r w:rsidR="00A87C88">
        <w:rPr>
          <w:rFonts w:ascii="Verdana" w:hAnsi="Verdana"/>
          <w:sz w:val="20"/>
          <w:szCs w:val="20"/>
          <w:lang w:val="es-ES"/>
        </w:rPr>
        <w:t>.</w:t>
      </w:r>
      <w:r w:rsidRPr="00CF6D4D">
        <w:rPr>
          <w:rFonts w:ascii="Verdana" w:hAnsi="Verdana"/>
          <w:sz w:val="20"/>
          <w:szCs w:val="20"/>
          <w:lang w:val="es-ES"/>
        </w:rPr>
        <w:t xml:space="preserve"> Las entidades deben identificar y evaluar los aspectos que inciden en el riesgo de contraparte tales como: el tipo de operaciones, el plazo para el cumplimiento, los agentes, reglas y controles aplicables a la negociación, compensación y liquidación de </w:t>
      </w:r>
      <w:proofErr w:type="gramStart"/>
      <w:r w:rsidRPr="00CF6D4D">
        <w:rPr>
          <w:rFonts w:ascii="Verdana" w:hAnsi="Verdana"/>
          <w:sz w:val="20"/>
          <w:szCs w:val="20"/>
          <w:lang w:val="es-ES"/>
        </w:rPr>
        <w:t>las mismas</w:t>
      </w:r>
      <w:proofErr w:type="gramEnd"/>
      <w:r w:rsidRPr="00CF6D4D">
        <w:rPr>
          <w:rFonts w:ascii="Verdana" w:hAnsi="Verdana"/>
          <w:sz w:val="20"/>
          <w:szCs w:val="20"/>
          <w:lang w:val="es-ES"/>
        </w:rPr>
        <w:t>, la liquidez y la volatilidad del precio de los valores o activos objeto de la operación, entre otros.</w:t>
      </w:r>
    </w:p>
    <w:p w14:paraId="1C2BAE8B" w14:textId="77777777" w:rsidR="00F15CB1" w:rsidRDefault="00F15CB1" w:rsidP="00F15CB1">
      <w:pPr>
        <w:pStyle w:val="Prrafodelista"/>
        <w:ind w:left="567"/>
        <w:jc w:val="both"/>
        <w:rPr>
          <w:rFonts w:ascii="Verdana" w:hAnsi="Verdana"/>
          <w:sz w:val="20"/>
          <w:szCs w:val="20"/>
          <w:lang w:val="es-ES"/>
        </w:rPr>
      </w:pPr>
    </w:p>
    <w:p w14:paraId="4ABFA476" w14:textId="08C61BAB" w:rsidR="00CF6D4D" w:rsidRPr="00F15CB1" w:rsidRDefault="00CF6D4D" w:rsidP="00CF6D4D">
      <w:pPr>
        <w:pStyle w:val="Prrafodelista"/>
        <w:numPr>
          <w:ilvl w:val="0"/>
          <w:numId w:val="76"/>
        </w:numPr>
        <w:ind w:left="567" w:hanging="567"/>
        <w:jc w:val="both"/>
        <w:rPr>
          <w:rFonts w:ascii="Verdana" w:hAnsi="Verdana"/>
          <w:sz w:val="20"/>
          <w:szCs w:val="20"/>
          <w:lang w:val="es-ES"/>
        </w:rPr>
      </w:pPr>
      <w:r w:rsidRPr="00F15CB1">
        <w:rPr>
          <w:rFonts w:ascii="Verdana" w:hAnsi="Verdana"/>
          <w:sz w:val="20"/>
          <w:szCs w:val="20"/>
          <w:lang w:val="es-ES"/>
        </w:rPr>
        <w:t>Perfil de riesgo de las contrapartes</w:t>
      </w:r>
      <w:r w:rsidR="003A6C8B">
        <w:rPr>
          <w:rFonts w:ascii="Verdana" w:hAnsi="Verdana"/>
          <w:sz w:val="20"/>
          <w:szCs w:val="20"/>
          <w:lang w:val="es-ES"/>
        </w:rPr>
        <w:t>.</w:t>
      </w:r>
      <w:r w:rsidRPr="00F15CB1">
        <w:rPr>
          <w:rFonts w:ascii="Verdana" w:hAnsi="Verdana"/>
          <w:sz w:val="20"/>
          <w:szCs w:val="20"/>
          <w:lang w:val="es-ES"/>
        </w:rPr>
        <w:t xml:space="preserve"> Las entidades deben identificar y evaluar los aspectos que inciden en el nivel de riesgo de sus contrapartes, de manera previa a la realización de operaciones o actividades con la respectiva contraparte, tales como:</w:t>
      </w:r>
    </w:p>
    <w:p w14:paraId="06654592" w14:textId="6EEE3BF8" w:rsidR="00F15CB1" w:rsidRDefault="00F15CB1" w:rsidP="00F15CB1">
      <w:pPr>
        <w:pStyle w:val="Prrafodelista"/>
        <w:ind w:left="1134"/>
        <w:jc w:val="both"/>
        <w:rPr>
          <w:rFonts w:ascii="Verdana" w:hAnsi="Verdana"/>
          <w:sz w:val="20"/>
          <w:szCs w:val="20"/>
          <w:lang w:val="es-ES"/>
        </w:rPr>
      </w:pPr>
    </w:p>
    <w:p w14:paraId="190A4181"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Fortaleza patrimonial.</w:t>
      </w:r>
    </w:p>
    <w:p w14:paraId="721EDEF4" w14:textId="77777777" w:rsidR="00F15CB1" w:rsidRDefault="00F15CB1" w:rsidP="00F15CB1">
      <w:pPr>
        <w:pStyle w:val="Prrafodelista"/>
        <w:ind w:left="1134"/>
        <w:jc w:val="both"/>
        <w:rPr>
          <w:rFonts w:ascii="Verdana" w:hAnsi="Verdana"/>
          <w:sz w:val="20"/>
          <w:szCs w:val="20"/>
          <w:lang w:val="es-ES"/>
        </w:rPr>
      </w:pPr>
    </w:p>
    <w:p w14:paraId="2B009202"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Solvencia.</w:t>
      </w:r>
    </w:p>
    <w:p w14:paraId="4FEE119F" w14:textId="77777777" w:rsidR="00F15CB1" w:rsidRPr="00F15CB1" w:rsidRDefault="00F15CB1" w:rsidP="00F15CB1">
      <w:pPr>
        <w:pStyle w:val="Prrafodelista"/>
        <w:rPr>
          <w:rFonts w:ascii="Verdana" w:hAnsi="Verdana"/>
          <w:sz w:val="20"/>
          <w:szCs w:val="20"/>
          <w:lang w:val="es-ES"/>
        </w:rPr>
      </w:pPr>
    </w:p>
    <w:p w14:paraId="4DBA9194"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Liquidez.</w:t>
      </w:r>
    </w:p>
    <w:p w14:paraId="096FB702" w14:textId="77777777" w:rsidR="00F15CB1" w:rsidRPr="00F15CB1" w:rsidRDefault="00F15CB1" w:rsidP="00F15CB1">
      <w:pPr>
        <w:pStyle w:val="Prrafodelista"/>
        <w:rPr>
          <w:rFonts w:ascii="Verdana" w:hAnsi="Verdana"/>
          <w:sz w:val="20"/>
          <w:szCs w:val="20"/>
          <w:lang w:val="es-ES"/>
        </w:rPr>
      </w:pPr>
    </w:p>
    <w:p w14:paraId="1E09AEF1"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Variables o razones financieras.</w:t>
      </w:r>
    </w:p>
    <w:p w14:paraId="74891B8E" w14:textId="77777777" w:rsidR="00F15CB1" w:rsidRPr="00F15CB1" w:rsidRDefault="00F15CB1" w:rsidP="00F15CB1">
      <w:pPr>
        <w:pStyle w:val="Prrafodelista"/>
        <w:rPr>
          <w:rFonts w:ascii="Verdana" w:hAnsi="Verdana"/>
          <w:sz w:val="20"/>
          <w:szCs w:val="20"/>
          <w:lang w:val="es-ES"/>
        </w:rPr>
      </w:pPr>
    </w:p>
    <w:p w14:paraId="4B01D478"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Perfil de operaciones de la contraparte en el mercado.</w:t>
      </w:r>
    </w:p>
    <w:p w14:paraId="2040E37A" w14:textId="77777777" w:rsidR="00F15CB1" w:rsidRPr="00F15CB1" w:rsidRDefault="00F15CB1" w:rsidP="00F15CB1">
      <w:pPr>
        <w:pStyle w:val="Prrafodelista"/>
        <w:rPr>
          <w:rFonts w:ascii="Verdana" w:hAnsi="Verdana"/>
          <w:sz w:val="20"/>
          <w:szCs w:val="20"/>
          <w:lang w:val="es-ES"/>
        </w:rPr>
      </w:pPr>
    </w:p>
    <w:p w14:paraId="5CF22A10"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Garantías y medios de pago asociadas a sus posiciones.</w:t>
      </w:r>
    </w:p>
    <w:p w14:paraId="5144980E" w14:textId="77777777" w:rsidR="00F15CB1" w:rsidRPr="00F15CB1" w:rsidRDefault="00F15CB1" w:rsidP="00F15CB1">
      <w:pPr>
        <w:pStyle w:val="Prrafodelista"/>
        <w:rPr>
          <w:rFonts w:ascii="Verdana" w:hAnsi="Verdana"/>
          <w:sz w:val="20"/>
          <w:szCs w:val="20"/>
          <w:lang w:val="es-ES"/>
        </w:rPr>
      </w:pPr>
    </w:p>
    <w:p w14:paraId="1252223B"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Historia de su comportamiento de pago y niveles de exposición crediticia, con base en la información de la contraparte que repose en la entidad y aquella adicional que se encuentre disponible a través de otros mecanismos o herramientas autorizadas o habilitadas a las que tenga acceso.</w:t>
      </w:r>
    </w:p>
    <w:p w14:paraId="73F7EE92" w14:textId="77777777" w:rsidR="00F15CB1" w:rsidRPr="00F15CB1" w:rsidRDefault="00F15CB1" w:rsidP="00F15CB1">
      <w:pPr>
        <w:pStyle w:val="Prrafodelista"/>
        <w:rPr>
          <w:rFonts w:ascii="Verdana" w:hAnsi="Verdana"/>
          <w:sz w:val="20"/>
          <w:szCs w:val="20"/>
          <w:lang w:val="es-ES"/>
        </w:rPr>
      </w:pPr>
    </w:p>
    <w:p w14:paraId="5B2BE769"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Calificación crediticia, si las tuviere.</w:t>
      </w:r>
    </w:p>
    <w:p w14:paraId="3E599AC2" w14:textId="77777777" w:rsidR="00F15CB1" w:rsidRPr="00F15CB1" w:rsidRDefault="00F15CB1" w:rsidP="00F15CB1">
      <w:pPr>
        <w:pStyle w:val="Prrafodelista"/>
        <w:rPr>
          <w:rFonts w:ascii="Verdana" w:hAnsi="Verdana"/>
          <w:sz w:val="20"/>
          <w:szCs w:val="20"/>
          <w:lang w:val="es-ES"/>
        </w:rPr>
      </w:pPr>
    </w:p>
    <w:p w14:paraId="6D6F236E"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Circunstancias o eventos externos que pueden afectar su capacidad de pago.</w:t>
      </w:r>
    </w:p>
    <w:p w14:paraId="5BAF3423" w14:textId="77777777" w:rsidR="00F15CB1" w:rsidRPr="00F15CB1" w:rsidRDefault="00F15CB1" w:rsidP="00F15CB1">
      <w:pPr>
        <w:pStyle w:val="Prrafodelista"/>
        <w:rPr>
          <w:rFonts w:ascii="Verdana" w:hAnsi="Verdana"/>
          <w:sz w:val="20"/>
          <w:szCs w:val="20"/>
          <w:lang w:val="es-ES"/>
        </w:rPr>
      </w:pPr>
    </w:p>
    <w:p w14:paraId="1A32772F" w14:textId="77777777" w:rsid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Documentar el estudio del perfil de riesgo cada uno de los clientes en el momento de su vinculación y realizar las revisiones con la periodicidad definida por la JD.</w:t>
      </w:r>
    </w:p>
    <w:p w14:paraId="1D1304CB" w14:textId="77777777" w:rsidR="00F15CB1" w:rsidRPr="00F15CB1" w:rsidRDefault="00F15CB1" w:rsidP="00F15CB1">
      <w:pPr>
        <w:pStyle w:val="Prrafodelista"/>
        <w:rPr>
          <w:rFonts w:ascii="Verdana" w:hAnsi="Verdana"/>
          <w:sz w:val="20"/>
          <w:szCs w:val="20"/>
          <w:lang w:val="es-ES"/>
        </w:rPr>
      </w:pPr>
    </w:p>
    <w:p w14:paraId="5600C9CB" w14:textId="39B9710B" w:rsidR="00C9451A" w:rsidRPr="00F15CB1" w:rsidRDefault="00CF6D4D" w:rsidP="00CF6D4D">
      <w:pPr>
        <w:pStyle w:val="Prrafodelista"/>
        <w:numPr>
          <w:ilvl w:val="0"/>
          <w:numId w:val="77"/>
        </w:numPr>
        <w:ind w:left="1134" w:hanging="567"/>
        <w:jc w:val="both"/>
        <w:rPr>
          <w:rFonts w:ascii="Verdana" w:hAnsi="Verdana"/>
          <w:sz w:val="20"/>
          <w:szCs w:val="20"/>
          <w:lang w:val="es-ES"/>
        </w:rPr>
      </w:pPr>
      <w:r w:rsidRPr="00F15CB1">
        <w:rPr>
          <w:rFonts w:ascii="Verdana" w:hAnsi="Verdana"/>
          <w:sz w:val="20"/>
          <w:szCs w:val="20"/>
          <w:lang w:val="es-ES"/>
        </w:rPr>
        <w:t>Los demás que la entidad considere relevantes.</w:t>
      </w:r>
    </w:p>
    <w:p w14:paraId="431263E3" w14:textId="5BD1118D" w:rsidR="005B1CAA" w:rsidRPr="005B1CAA" w:rsidRDefault="005B1CAA" w:rsidP="005B1CAA">
      <w:pPr>
        <w:spacing w:after="0"/>
        <w:jc w:val="both"/>
        <w:rPr>
          <w:rFonts w:ascii="Verdana" w:hAnsi="Verdana"/>
          <w:sz w:val="20"/>
          <w:szCs w:val="20"/>
        </w:rPr>
      </w:pPr>
      <w:r w:rsidRPr="005B1CAA">
        <w:rPr>
          <w:rFonts w:ascii="Verdana" w:hAnsi="Verdana"/>
          <w:sz w:val="20"/>
          <w:szCs w:val="20"/>
        </w:rPr>
        <w:t>1.1.2.</w:t>
      </w:r>
      <w:r>
        <w:rPr>
          <w:rFonts w:ascii="Verdana" w:hAnsi="Verdana"/>
          <w:sz w:val="20"/>
          <w:szCs w:val="20"/>
        </w:rPr>
        <w:t>2</w:t>
      </w:r>
      <w:r w:rsidR="005D3550">
        <w:rPr>
          <w:rFonts w:ascii="Verdana" w:hAnsi="Verdana"/>
          <w:sz w:val="20"/>
          <w:szCs w:val="20"/>
        </w:rPr>
        <w:t>40</w:t>
      </w:r>
      <w:r w:rsidRPr="005B1CAA">
        <w:rPr>
          <w:rFonts w:ascii="Verdana" w:hAnsi="Verdana"/>
          <w:sz w:val="20"/>
          <w:szCs w:val="20"/>
        </w:rPr>
        <w:t>.</w:t>
      </w:r>
    </w:p>
    <w:p w14:paraId="0CA16044" w14:textId="78E53BB4" w:rsidR="005B1CAA" w:rsidRPr="005B1CAA" w:rsidRDefault="005B1CAA" w:rsidP="005B1CAA">
      <w:pPr>
        <w:jc w:val="both"/>
        <w:rPr>
          <w:rFonts w:ascii="Verdana" w:hAnsi="Verdana"/>
          <w:sz w:val="20"/>
          <w:szCs w:val="20"/>
        </w:rPr>
      </w:pPr>
      <w:r w:rsidRPr="005B1CAA">
        <w:rPr>
          <w:rFonts w:ascii="Verdana" w:hAnsi="Verdana"/>
          <w:sz w:val="20"/>
          <w:szCs w:val="20"/>
        </w:rPr>
        <w:t>Para efectos de la identificación y evaluación de los factores de riesgo y del perfil de riesgo de las contrapartes, las SCBV y las SCBA pueden establecer los criterios aplicables según los tipos de contrapartes con las cuales realiza operaciones y/o las condiciones de las operaciones, productos o mercados, según corresponda.</w:t>
      </w:r>
    </w:p>
    <w:p w14:paraId="22ED80B8" w14:textId="6AA3A56C" w:rsidR="005B1CAA" w:rsidRPr="005B1CAA" w:rsidRDefault="005B1CAA" w:rsidP="005B1CAA">
      <w:pPr>
        <w:spacing w:after="0"/>
        <w:jc w:val="both"/>
        <w:rPr>
          <w:rFonts w:ascii="Verdana" w:hAnsi="Verdana"/>
          <w:sz w:val="20"/>
          <w:szCs w:val="20"/>
        </w:rPr>
      </w:pPr>
      <w:r w:rsidRPr="005B1CAA">
        <w:rPr>
          <w:rFonts w:ascii="Verdana" w:hAnsi="Verdana"/>
          <w:sz w:val="20"/>
          <w:szCs w:val="20"/>
        </w:rPr>
        <w:t>1.1.2.</w:t>
      </w:r>
      <w:r>
        <w:rPr>
          <w:rFonts w:ascii="Verdana" w:hAnsi="Verdana"/>
          <w:sz w:val="20"/>
          <w:szCs w:val="20"/>
        </w:rPr>
        <w:t>2</w:t>
      </w:r>
      <w:r w:rsidR="005D3550">
        <w:rPr>
          <w:rFonts w:ascii="Verdana" w:hAnsi="Verdana"/>
          <w:sz w:val="20"/>
          <w:szCs w:val="20"/>
        </w:rPr>
        <w:t>41</w:t>
      </w:r>
      <w:r w:rsidRPr="005B1CAA">
        <w:rPr>
          <w:rFonts w:ascii="Verdana" w:hAnsi="Verdana"/>
          <w:sz w:val="20"/>
          <w:szCs w:val="20"/>
        </w:rPr>
        <w:t>.</w:t>
      </w:r>
    </w:p>
    <w:p w14:paraId="6590DE48" w14:textId="5446A46A" w:rsidR="004910D4" w:rsidRPr="009852C8" w:rsidRDefault="005B1CAA" w:rsidP="004910D4">
      <w:pPr>
        <w:jc w:val="both"/>
        <w:rPr>
          <w:rFonts w:ascii="Verdana" w:hAnsi="Verdana"/>
          <w:sz w:val="20"/>
          <w:szCs w:val="20"/>
        </w:rPr>
      </w:pPr>
      <w:r w:rsidRPr="005B1CAA">
        <w:rPr>
          <w:rFonts w:ascii="Verdana" w:hAnsi="Verdana"/>
          <w:sz w:val="20"/>
          <w:szCs w:val="20"/>
        </w:rPr>
        <w:t>Para las operaciones cuya contraparte sea una cámara de riesgo central de contraparte autorizada por la SFC se entiende que el perfil de riesgo de la contraparte corresponde al más bajo.</w:t>
      </w:r>
      <w:r w:rsidR="004910D4" w:rsidRPr="004910D4">
        <w:rPr>
          <w:rFonts w:ascii="Verdana" w:hAnsi="Verdana"/>
          <w:sz w:val="20"/>
          <w:szCs w:val="20"/>
        </w:rPr>
        <w:t xml:space="preserve"> </w:t>
      </w:r>
    </w:p>
    <w:p w14:paraId="01AC5550" w14:textId="1507E22E" w:rsidR="004910D4" w:rsidRPr="009852C8" w:rsidRDefault="004F3B81" w:rsidP="004910D4">
      <w:pPr>
        <w:pStyle w:val="Prrafodelista"/>
        <w:numPr>
          <w:ilvl w:val="0"/>
          <w:numId w:val="6"/>
        </w:numPr>
        <w:ind w:left="567" w:hanging="283"/>
        <w:jc w:val="both"/>
        <w:rPr>
          <w:rFonts w:ascii="Verdana" w:hAnsi="Verdana"/>
          <w:b/>
          <w:bCs/>
          <w:sz w:val="20"/>
          <w:szCs w:val="20"/>
        </w:rPr>
      </w:pPr>
      <w:r>
        <w:rPr>
          <w:rFonts w:ascii="Verdana" w:hAnsi="Verdana"/>
          <w:b/>
          <w:bCs/>
          <w:sz w:val="20"/>
          <w:szCs w:val="20"/>
        </w:rPr>
        <w:t>Estándares mínimos</w:t>
      </w:r>
    </w:p>
    <w:p w14:paraId="4B5199C8" w14:textId="6D58D8E1" w:rsidR="004910D4" w:rsidRPr="0086035E" w:rsidRDefault="004910D4" w:rsidP="004910D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F5603F">
        <w:rPr>
          <w:rFonts w:ascii="Verdana" w:hAnsi="Verdana"/>
          <w:sz w:val="20"/>
          <w:szCs w:val="20"/>
        </w:rPr>
        <w:t>4</w:t>
      </w:r>
      <w:r w:rsidR="005D3550">
        <w:rPr>
          <w:rFonts w:ascii="Verdana" w:hAnsi="Verdana"/>
          <w:sz w:val="20"/>
          <w:szCs w:val="20"/>
        </w:rPr>
        <w:t>2</w:t>
      </w:r>
      <w:r w:rsidRPr="0086035E">
        <w:rPr>
          <w:rFonts w:ascii="Verdana" w:hAnsi="Verdana"/>
          <w:sz w:val="20"/>
          <w:szCs w:val="20"/>
        </w:rPr>
        <w:t>.</w:t>
      </w:r>
    </w:p>
    <w:p w14:paraId="2A21632A" w14:textId="4B57E5A2" w:rsidR="00501C5F" w:rsidRDefault="00332E89" w:rsidP="004910D4">
      <w:pPr>
        <w:jc w:val="both"/>
        <w:rPr>
          <w:rFonts w:ascii="Verdana" w:hAnsi="Verdana"/>
          <w:sz w:val="20"/>
          <w:szCs w:val="20"/>
        </w:rPr>
      </w:pPr>
      <w:r w:rsidRPr="00332E89">
        <w:rPr>
          <w:rFonts w:ascii="Verdana" w:hAnsi="Verdana"/>
          <w:sz w:val="20"/>
          <w:szCs w:val="20"/>
        </w:rPr>
        <w:t>La entidad debe cumplir como mínimo con los siguientes estándares:</w:t>
      </w:r>
    </w:p>
    <w:p w14:paraId="13995EB8" w14:textId="00C16E04" w:rsidR="00F5603F" w:rsidRPr="0086035E" w:rsidRDefault="00F5603F" w:rsidP="00F5603F">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24</w:t>
      </w:r>
      <w:r w:rsidR="005D3550">
        <w:rPr>
          <w:rFonts w:ascii="Verdana" w:hAnsi="Verdana"/>
          <w:sz w:val="20"/>
          <w:szCs w:val="20"/>
        </w:rPr>
        <w:t>3</w:t>
      </w:r>
      <w:r w:rsidRPr="0086035E">
        <w:rPr>
          <w:rFonts w:ascii="Verdana" w:hAnsi="Verdana"/>
          <w:sz w:val="20"/>
          <w:szCs w:val="20"/>
        </w:rPr>
        <w:t>.</w:t>
      </w:r>
    </w:p>
    <w:p w14:paraId="34B1B079" w14:textId="4FABB8EC" w:rsidR="00D05F3E" w:rsidRDefault="000468FF" w:rsidP="00F5603F">
      <w:pPr>
        <w:jc w:val="both"/>
        <w:rPr>
          <w:rFonts w:ascii="Verdana" w:hAnsi="Verdana"/>
          <w:sz w:val="20"/>
          <w:szCs w:val="20"/>
        </w:rPr>
      </w:pPr>
      <w:r w:rsidRPr="000468FF">
        <w:rPr>
          <w:rFonts w:ascii="Verdana" w:hAnsi="Verdana"/>
          <w:sz w:val="20"/>
          <w:szCs w:val="20"/>
        </w:rPr>
        <w:t>Permitir realizar un análisis del perfil de riesgo y capacidad de pago de las contrapartes con las que desea realizar operaciones y asignarles una calificación de riesgo, de acuerdo con los criterios tanto cualitativos como cuantitativos aprobados por la JD de la entidad. Para efectos del análisis, la entidad debe contar con la información que sea necesaria para la evaluación de los principales factores de riesgo de sus contrapartes.</w:t>
      </w:r>
    </w:p>
    <w:p w14:paraId="21600790" w14:textId="5D62F8AA" w:rsidR="00F5603F" w:rsidRPr="0086035E" w:rsidRDefault="00F5603F" w:rsidP="00F5603F">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24</w:t>
      </w:r>
      <w:r w:rsidR="005D3550">
        <w:rPr>
          <w:rFonts w:ascii="Verdana" w:hAnsi="Verdana"/>
          <w:sz w:val="20"/>
          <w:szCs w:val="20"/>
        </w:rPr>
        <w:t>4</w:t>
      </w:r>
      <w:r w:rsidRPr="0086035E">
        <w:rPr>
          <w:rFonts w:ascii="Verdana" w:hAnsi="Verdana"/>
          <w:sz w:val="20"/>
          <w:szCs w:val="20"/>
        </w:rPr>
        <w:t>.</w:t>
      </w:r>
    </w:p>
    <w:p w14:paraId="51400DD8" w14:textId="6F528E7D" w:rsidR="00F5603F" w:rsidRDefault="003F3D04" w:rsidP="00F5603F">
      <w:pPr>
        <w:jc w:val="both"/>
        <w:rPr>
          <w:rFonts w:ascii="Verdana" w:hAnsi="Verdana"/>
          <w:sz w:val="20"/>
          <w:szCs w:val="20"/>
        </w:rPr>
      </w:pPr>
      <w:r w:rsidRPr="003F3D04">
        <w:rPr>
          <w:rFonts w:ascii="Verdana" w:hAnsi="Verdana"/>
          <w:sz w:val="20"/>
          <w:szCs w:val="20"/>
        </w:rPr>
        <w:t>El análisis del perfil de riesgo de cada contraparte debe efectuarse de forma previa a la realización de la operación y actualizarse con la periodicidad definida por la JD, la cual no podrá ser superior a 6 meses.</w:t>
      </w:r>
    </w:p>
    <w:p w14:paraId="05F8573E" w14:textId="14021039" w:rsidR="00F5603F" w:rsidRPr="0086035E" w:rsidRDefault="00F5603F" w:rsidP="00F5603F">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24</w:t>
      </w:r>
      <w:r w:rsidR="005D3550">
        <w:rPr>
          <w:rFonts w:ascii="Verdana" w:hAnsi="Verdana"/>
          <w:sz w:val="20"/>
          <w:szCs w:val="20"/>
        </w:rPr>
        <w:t>5</w:t>
      </w:r>
      <w:r w:rsidRPr="0086035E">
        <w:rPr>
          <w:rFonts w:ascii="Verdana" w:hAnsi="Verdana"/>
          <w:sz w:val="20"/>
          <w:szCs w:val="20"/>
        </w:rPr>
        <w:t>.</w:t>
      </w:r>
    </w:p>
    <w:p w14:paraId="2646D223" w14:textId="6DFA6F04" w:rsidR="00F5603F" w:rsidRDefault="007F4F4F" w:rsidP="00F5603F">
      <w:pPr>
        <w:jc w:val="both"/>
        <w:rPr>
          <w:rFonts w:ascii="Verdana" w:hAnsi="Verdana"/>
          <w:sz w:val="20"/>
          <w:szCs w:val="20"/>
        </w:rPr>
      </w:pPr>
      <w:r w:rsidRPr="007F4F4F">
        <w:rPr>
          <w:rFonts w:ascii="Verdana" w:hAnsi="Verdana"/>
          <w:sz w:val="20"/>
          <w:szCs w:val="20"/>
        </w:rPr>
        <w:t xml:space="preserve">En todo caso, el perfil de riesgo </w:t>
      </w:r>
      <w:r w:rsidR="00595DC4">
        <w:rPr>
          <w:rFonts w:ascii="Verdana" w:hAnsi="Verdana"/>
          <w:sz w:val="20"/>
          <w:szCs w:val="20"/>
        </w:rPr>
        <w:t xml:space="preserve">se </w:t>
      </w:r>
      <w:r w:rsidRPr="007F4F4F">
        <w:rPr>
          <w:rFonts w:ascii="Verdana" w:hAnsi="Verdana"/>
          <w:sz w:val="20"/>
          <w:szCs w:val="20"/>
        </w:rPr>
        <w:t>debe revisar</w:t>
      </w:r>
      <w:r w:rsidR="001B7FCF">
        <w:rPr>
          <w:rFonts w:ascii="Verdana" w:hAnsi="Verdana"/>
          <w:sz w:val="20"/>
          <w:szCs w:val="20"/>
        </w:rPr>
        <w:t xml:space="preserve"> </w:t>
      </w:r>
      <w:r w:rsidRPr="007F4F4F">
        <w:rPr>
          <w:rFonts w:ascii="Verdana" w:hAnsi="Verdana"/>
          <w:sz w:val="20"/>
          <w:szCs w:val="20"/>
        </w:rPr>
        <w:t>de forma extraordinaria cuando se tengan indicios de deterioro de la capacidad de pago de la contraparte o se hayan presentado eventos de incumplimiento de las operaciones o de la constitución o ajuste de las garantías asociadas a sus operaciones.</w:t>
      </w:r>
    </w:p>
    <w:p w14:paraId="53B0B0DD" w14:textId="47A9CD80" w:rsidR="00F5603F" w:rsidRPr="0086035E" w:rsidRDefault="00F5603F" w:rsidP="00F5603F">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24</w:t>
      </w:r>
      <w:r w:rsidR="005D3550">
        <w:rPr>
          <w:rFonts w:ascii="Verdana" w:hAnsi="Verdana"/>
          <w:sz w:val="20"/>
          <w:szCs w:val="20"/>
        </w:rPr>
        <w:t>6</w:t>
      </w:r>
      <w:r w:rsidRPr="0086035E">
        <w:rPr>
          <w:rFonts w:ascii="Verdana" w:hAnsi="Verdana"/>
          <w:sz w:val="20"/>
          <w:szCs w:val="20"/>
        </w:rPr>
        <w:t>.</w:t>
      </w:r>
    </w:p>
    <w:p w14:paraId="6F6BB4C3" w14:textId="696EEC79" w:rsidR="000D284D" w:rsidRPr="002E0B62" w:rsidRDefault="00FE6620" w:rsidP="000D284D">
      <w:pPr>
        <w:jc w:val="both"/>
        <w:rPr>
          <w:rFonts w:ascii="Verdana" w:hAnsi="Verdana"/>
          <w:sz w:val="20"/>
          <w:szCs w:val="20"/>
        </w:rPr>
      </w:pPr>
      <w:r w:rsidRPr="00FE6620">
        <w:rPr>
          <w:rFonts w:ascii="Verdana" w:hAnsi="Verdana"/>
          <w:sz w:val="20"/>
          <w:szCs w:val="20"/>
        </w:rPr>
        <w:t xml:space="preserve">Evaluar las reglas y condiciones del mercado y de las operaciones que pueden incidir en la capacidad de cumplimiento de sus contrapartes, para determinar los mecanismos de mitigación aplicables, </w:t>
      </w:r>
      <w:r w:rsidRPr="002E0B62">
        <w:rPr>
          <w:rFonts w:ascii="Verdana" w:hAnsi="Verdana"/>
          <w:sz w:val="20"/>
          <w:szCs w:val="20"/>
        </w:rPr>
        <w:t>tales como</w:t>
      </w:r>
      <w:r w:rsidR="003236FE" w:rsidRPr="002E0B62">
        <w:rPr>
          <w:rFonts w:ascii="Verdana" w:hAnsi="Verdana"/>
          <w:sz w:val="20"/>
          <w:szCs w:val="20"/>
        </w:rPr>
        <w:t>:</w:t>
      </w:r>
    </w:p>
    <w:p w14:paraId="17FBEF8D" w14:textId="3B480F2C" w:rsidR="00FA7708" w:rsidRPr="002E0B62" w:rsidRDefault="000D284D" w:rsidP="00FA7708">
      <w:pPr>
        <w:pStyle w:val="Prrafodelista"/>
        <w:numPr>
          <w:ilvl w:val="0"/>
          <w:numId w:val="78"/>
        </w:numPr>
        <w:ind w:left="567" w:hanging="567"/>
        <w:jc w:val="both"/>
        <w:rPr>
          <w:rFonts w:ascii="Verdana" w:hAnsi="Verdana"/>
          <w:sz w:val="20"/>
          <w:szCs w:val="20"/>
        </w:rPr>
      </w:pPr>
      <w:r w:rsidRPr="002E0B62">
        <w:rPr>
          <w:rFonts w:ascii="Verdana" w:hAnsi="Verdana"/>
          <w:sz w:val="20"/>
          <w:szCs w:val="20"/>
        </w:rPr>
        <w:t>Cupos o límites de operación por contraparte</w:t>
      </w:r>
      <w:r w:rsidR="007A7E23">
        <w:rPr>
          <w:rFonts w:ascii="Verdana" w:hAnsi="Verdana"/>
          <w:sz w:val="20"/>
          <w:szCs w:val="20"/>
        </w:rPr>
        <w:t>.</w:t>
      </w:r>
      <w:r w:rsidRPr="002E0B62">
        <w:rPr>
          <w:rFonts w:ascii="Verdana" w:hAnsi="Verdana"/>
          <w:sz w:val="20"/>
          <w:szCs w:val="20"/>
        </w:rPr>
        <w:t xml:space="preserve"> Definidos e implementados de acuerdo con las políticas y apetito de riesgo por contraparte aprobados por la JD de la entidad</w:t>
      </w:r>
      <w:r w:rsidR="00443E38" w:rsidRPr="002E0B62">
        <w:rPr>
          <w:rFonts w:ascii="Verdana" w:hAnsi="Verdana"/>
          <w:sz w:val="20"/>
          <w:szCs w:val="20"/>
        </w:rPr>
        <w:t>.</w:t>
      </w:r>
      <w:r w:rsidR="00A12B71" w:rsidRPr="002E0B62">
        <w:rPr>
          <w:rFonts w:ascii="Verdana" w:hAnsi="Verdana"/>
          <w:sz w:val="20"/>
          <w:szCs w:val="20"/>
        </w:rPr>
        <w:t xml:space="preserve"> </w:t>
      </w:r>
      <w:r w:rsidR="00213F3F" w:rsidRPr="002E0B62">
        <w:rPr>
          <w:rFonts w:ascii="Verdana" w:hAnsi="Verdana"/>
          <w:sz w:val="20"/>
          <w:szCs w:val="20"/>
        </w:rPr>
        <w:t xml:space="preserve">En particular, dichos cupos o límites deben incorporar criterios tales como: montos máximos de exposición por tipo de operación, por tipo de activo o valor, por mercado; y cupo o límite total por contraparte, incluidas aquellas que tengan el carácter de vinculadas. Para estos efectos, se entenderán como contrapartes vinculadas las definidas en el literal </w:t>
      </w:r>
      <w:r w:rsidR="00FA7708" w:rsidRPr="002E0B62">
        <w:rPr>
          <w:rFonts w:ascii="Verdana" w:hAnsi="Verdana"/>
          <w:sz w:val="20"/>
          <w:szCs w:val="20"/>
        </w:rPr>
        <w:t>(</w:t>
      </w:r>
      <w:r w:rsidR="00213F3F" w:rsidRPr="002E0B62">
        <w:rPr>
          <w:rFonts w:ascii="Verdana" w:hAnsi="Verdana"/>
          <w:sz w:val="20"/>
          <w:szCs w:val="20"/>
        </w:rPr>
        <w:t>b) del numeral 2 del artículo 7.3.1.1.2 del Decreto 2555 de 2010.</w:t>
      </w:r>
    </w:p>
    <w:p w14:paraId="20DAD353" w14:textId="77777777" w:rsidR="00FA7708" w:rsidRPr="002E0B62" w:rsidRDefault="00FA7708" w:rsidP="00FA7708">
      <w:pPr>
        <w:pStyle w:val="Prrafodelista"/>
        <w:ind w:left="567"/>
        <w:jc w:val="both"/>
        <w:rPr>
          <w:rFonts w:ascii="Verdana" w:hAnsi="Verdana"/>
          <w:sz w:val="20"/>
          <w:szCs w:val="20"/>
        </w:rPr>
      </w:pPr>
    </w:p>
    <w:p w14:paraId="45631117" w14:textId="77777777" w:rsidR="00FA7708" w:rsidRPr="002E0B62" w:rsidRDefault="00394A98" w:rsidP="00FA7708">
      <w:pPr>
        <w:pStyle w:val="Prrafodelista"/>
        <w:numPr>
          <w:ilvl w:val="0"/>
          <w:numId w:val="78"/>
        </w:numPr>
        <w:ind w:left="567" w:hanging="567"/>
        <w:jc w:val="both"/>
        <w:rPr>
          <w:rFonts w:ascii="Verdana" w:hAnsi="Verdana"/>
          <w:sz w:val="20"/>
          <w:szCs w:val="20"/>
        </w:rPr>
      </w:pPr>
      <w:r w:rsidRPr="002E0B62">
        <w:rPr>
          <w:rFonts w:ascii="Verdana" w:hAnsi="Verdana"/>
          <w:sz w:val="20"/>
          <w:szCs w:val="20"/>
        </w:rPr>
        <w:lastRenderedPageBreak/>
        <w:t>Los cupos o límites deben ser revisados con la periodicidad que establezca la JD de la entidad, con el fin de incorporar los cambios en el perfil de riesgo de la contraparte o del comportamiento de otros factores de riesgo que definan las SCBV y las SCBA, así como aquellos que resulten de los ajustes en los lineamientos sobre la gestión del riesgo.</w:t>
      </w:r>
    </w:p>
    <w:p w14:paraId="04937993" w14:textId="77777777" w:rsidR="00FA7708" w:rsidRPr="002E0B62" w:rsidRDefault="00FA7708" w:rsidP="00FA7708">
      <w:pPr>
        <w:pStyle w:val="Prrafodelista"/>
        <w:rPr>
          <w:rFonts w:ascii="Verdana" w:hAnsi="Verdana"/>
          <w:sz w:val="20"/>
          <w:szCs w:val="20"/>
        </w:rPr>
      </w:pPr>
    </w:p>
    <w:p w14:paraId="6F3A7AD9" w14:textId="77777777" w:rsidR="00FA7708" w:rsidRPr="002E0B62" w:rsidRDefault="006E0D2E" w:rsidP="00FA7708">
      <w:pPr>
        <w:pStyle w:val="Prrafodelista"/>
        <w:numPr>
          <w:ilvl w:val="0"/>
          <w:numId w:val="78"/>
        </w:numPr>
        <w:ind w:left="567" w:hanging="567"/>
        <w:jc w:val="both"/>
        <w:rPr>
          <w:rFonts w:ascii="Verdana" w:hAnsi="Verdana"/>
          <w:sz w:val="20"/>
          <w:szCs w:val="20"/>
        </w:rPr>
      </w:pPr>
      <w:r w:rsidRPr="002E0B62">
        <w:rPr>
          <w:rFonts w:ascii="Verdana" w:hAnsi="Verdana"/>
          <w:sz w:val="20"/>
          <w:szCs w:val="20"/>
        </w:rPr>
        <w:t xml:space="preserve">Esquema de garantías exigidas por los sistemas de negociación de valores, sistemas de registro de operaciones sobre valores, bolsas de valores, bolsas de bienes y productos agropecuarios, agroindustriales o de otros </w:t>
      </w:r>
      <w:proofErr w:type="spellStart"/>
      <w:r w:rsidRPr="007B2A48">
        <w:rPr>
          <w:rFonts w:ascii="Verdana" w:hAnsi="Verdana"/>
          <w:i/>
          <w:iCs/>
          <w:sz w:val="20"/>
          <w:szCs w:val="20"/>
        </w:rPr>
        <w:t>commodities</w:t>
      </w:r>
      <w:proofErr w:type="spellEnd"/>
      <w:r w:rsidRPr="002E0B62">
        <w:rPr>
          <w:rFonts w:ascii="Verdana" w:hAnsi="Verdana"/>
          <w:sz w:val="20"/>
          <w:szCs w:val="20"/>
        </w:rPr>
        <w:t>, sistemas de compensación y liquidación de operaciones y cámaras de riesgo central de contraparte, según corresponda.</w:t>
      </w:r>
    </w:p>
    <w:p w14:paraId="3187DADB" w14:textId="77777777" w:rsidR="00FA7708" w:rsidRPr="002E0B62" w:rsidRDefault="00FA7708" w:rsidP="00FA7708">
      <w:pPr>
        <w:pStyle w:val="Prrafodelista"/>
        <w:rPr>
          <w:rFonts w:ascii="Verdana" w:hAnsi="Verdana"/>
          <w:sz w:val="20"/>
          <w:szCs w:val="20"/>
        </w:rPr>
      </w:pPr>
    </w:p>
    <w:p w14:paraId="53D639F8" w14:textId="037C1503" w:rsidR="00D458A8" w:rsidRPr="002E0B62" w:rsidRDefault="003D02B4" w:rsidP="00D458A8">
      <w:pPr>
        <w:pStyle w:val="Prrafodelista"/>
        <w:numPr>
          <w:ilvl w:val="0"/>
          <w:numId w:val="78"/>
        </w:numPr>
        <w:ind w:left="567" w:hanging="567"/>
        <w:jc w:val="both"/>
        <w:rPr>
          <w:rFonts w:ascii="Verdana" w:hAnsi="Verdana"/>
          <w:sz w:val="20"/>
          <w:szCs w:val="20"/>
        </w:rPr>
      </w:pPr>
      <w:r w:rsidRPr="002E0B62">
        <w:rPr>
          <w:rFonts w:ascii="Verdana" w:hAnsi="Verdana"/>
          <w:sz w:val="20"/>
          <w:szCs w:val="20"/>
        </w:rPr>
        <w:t xml:space="preserve">Garantías exigidas por la propia entidad, distintas de aquellas señaladas en el </w:t>
      </w:r>
      <w:r w:rsidR="000011C8">
        <w:rPr>
          <w:rFonts w:ascii="Verdana" w:hAnsi="Verdana"/>
          <w:sz w:val="20"/>
          <w:szCs w:val="20"/>
        </w:rPr>
        <w:t>literal</w:t>
      </w:r>
      <w:r w:rsidRPr="002E0B62">
        <w:rPr>
          <w:rFonts w:ascii="Verdana" w:hAnsi="Verdana"/>
          <w:sz w:val="20"/>
          <w:szCs w:val="20"/>
        </w:rPr>
        <w:t xml:space="preserve"> anterior, según las políticas establecidas por la JD de la entidad</w:t>
      </w:r>
      <w:r w:rsidR="0050710A" w:rsidRPr="002E0B62">
        <w:rPr>
          <w:rFonts w:ascii="Verdana" w:hAnsi="Verdana"/>
          <w:sz w:val="20"/>
          <w:szCs w:val="20"/>
        </w:rPr>
        <w:t xml:space="preserve">. </w:t>
      </w:r>
      <w:r w:rsidR="008D72EE" w:rsidRPr="002E0B62">
        <w:rPr>
          <w:rFonts w:ascii="Verdana" w:hAnsi="Verdana"/>
          <w:sz w:val="20"/>
          <w:szCs w:val="20"/>
        </w:rPr>
        <w:t xml:space="preserve">La gestión puede incorporar un esquema de garantías definido por la propia entidad para la mitigación del riesgo de contraparte, al que se encuentra expuesto con sus clientes, de acuerdo con los lineamientos y mecanismos de mitigación del riesgo de contraparte definidos por la entidad. Este esquema puede incorporar aspectos tales como: la constitución de garantías iniciales o previas, aplicación de </w:t>
      </w:r>
      <w:proofErr w:type="spellStart"/>
      <w:r w:rsidR="008D72EE" w:rsidRPr="002C2A78">
        <w:rPr>
          <w:rFonts w:ascii="Verdana" w:hAnsi="Verdana"/>
          <w:i/>
          <w:iCs/>
          <w:sz w:val="20"/>
          <w:szCs w:val="20"/>
        </w:rPr>
        <w:t>haircuts</w:t>
      </w:r>
      <w:proofErr w:type="spellEnd"/>
      <w:r w:rsidR="008D72EE" w:rsidRPr="002E0B62">
        <w:rPr>
          <w:rFonts w:ascii="Verdana" w:hAnsi="Verdana"/>
          <w:sz w:val="20"/>
          <w:szCs w:val="20"/>
        </w:rPr>
        <w:t>, así como políticas y procedimientos para el ajuste de garantías durante el plazo de las operaciones, así como su correlación con el subyacente de la operación, según corresponda.</w:t>
      </w:r>
    </w:p>
    <w:p w14:paraId="5C7ABAF4" w14:textId="77777777" w:rsidR="00D458A8" w:rsidRPr="002E0B62" w:rsidRDefault="00D458A8" w:rsidP="00D458A8">
      <w:pPr>
        <w:pStyle w:val="Prrafodelista"/>
        <w:rPr>
          <w:rFonts w:ascii="Verdana" w:hAnsi="Verdana"/>
          <w:sz w:val="20"/>
          <w:szCs w:val="20"/>
        </w:rPr>
      </w:pPr>
    </w:p>
    <w:p w14:paraId="0E6D1890" w14:textId="77777777" w:rsidR="00D458A8" w:rsidRPr="002E0B62" w:rsidRDefault="00B23292" w:rsidP="00D458A8">
      <w:pPr>
        <w:pStyle w:val="Prrafodelista"/>
        <w:numPr>
          <w:ilvl w:val="0"/>
          <w:numId w:val="78"/>
        </w:numPr>
        <w:ind w:left="567" w:hanging="567"/>
        <w:jc w:val="both"/>
        <w:rPr>
          <w:rFonts w:ascii="Verdana" w:hAnsi="Verdana"/>
          <w:sz w:val="20"/>
          <w:szCs w:val="20"/>
        </w:rPr>
      </w:pPr>
      <w:r w:rsidRPr="002E0B62">
        <w:rPr>
          <w:rFonts w:ascii="Verdana" w:hAnsi="Verdana"/>
          <w:sz w:val="20"/>
          <w:szCs w:val="20"/>
        </w:rPr>
        <w:t>Cuando una cámara de riesgo central de contraparte autorizada por la SFC compense y liquide operaciones sobre los mismos valores, activos o activos subyacentes, el esquema de garantías definido por la entidad debe contemplar, al menos, el nivel mínimo exigido por dicha cámara de riesgo central de contraparte.</w:t>
      </w:r>
      <w:r w:rsidR="00CE22BF" w:rsidRPr="002E0B62">
        <w:rPr>
          <w:rFonts w:ascii="Verdana" w:hAnsi="Verdana"/>
          <w:sz w:val="20"/>
          <w:szCs w:val="20"/>
        </w:rPr>
        <w:t xml:space="preserve"> </w:t>
      </w:r>
    </w:p>
    <w:p w14:paraId="0A540FD4" w14:textId="77777777" w:rsidR="00D458A8" w:rsidRPr="002E0B62" w:rsidRDefault="00D458A8" w:rsidP="00D458A8">
      <w:pPr>
        <w:pStyle w:val="Prrafodelista"/>
        <w:rPr>
          <w:rFonts w:ascii="Verdana" w:hAnsi="Verdana"/>
          <w:sz w:val="20"/>
          <w:szCs w:val="20"/>
        </w:rPr>
      </w:pPr>
    </w:p>
    <w:p w14:paraId="1CF104B0" w14:textId="7B97ED07" w:rsidR="00D75241" w:rsidRPr="002E0B62" w:rsidRDefault="0057232C" w:rsidP="00D458A8">
      <w:pPr>
        <w:pStyle w:val="Prrafodelista"/>
        <w:numPr>
          <w:ilvl w:val="0"/>
          <w:numId w:val="78"/>
        </w:numPr>
        <w:ind w:left="567" w:hanging="567"/>
        <w:jc w:val="both"/>
        <w:rPr>
          <w:rFonts w:ascii="Verdana" w:hAnsi="Verdana"/>
          <w:sz w:val="20"/>
          <w:szCs w:val="20"/>
        </w:rPr>
      </w:pPr>
      <w:r w:rsidRPr="002E0B62">
        <w:rPr>
          <w:rFonts w:ascii="Verdana" w:hAnsi="Verdana"/>
          <w:sz w:val="20"/>
          <w:szCs w:val="20"/>
        </w:rPr>
        <w:t>Procedimientos o mecanismos de prevención del riesgo de contraparte tales como cierre de posiciones o liquidación de garantías, entre otros que la entidad considere necesarios para evitar la materialización del riesgo</w:t>
      </w:r>
      <w:r w:rsidR="00D75241" w:rsidRPr="002E0B62">
        <w:rPr>
          <w:rFonts w:ascii="Verdana" w:hAnsi="Verdana"/>
          <w:sz w:val="20"/>
          <w:szCs w:val="20"/>
        </w:rPr>
        <w:t xml:space="preserve">. </w:t>
      </w:r>
    </w:p>
    <w:p w14:paraId="654D89BC" w14:textId="4AE274EA" w:rsidR="00D75241" w:rsidRPr="0086035E" w:rsidRDefault="00D75241" w:rsidP="00D75241">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3236FE">
        <w:rPr>
          <w:rFonts w:ascii="Verdana" w:hAnsi="Verdana"/>
          <w:sz w:val="20"/>
          <w:szCs w:val="20"/>
        </w:rPr>
        <w:t>4</w:t>
      </w:r>
      <w:r w:rsidR="005D3550">
        <w:rPr>
          <w:rFonts w:ascii="Verdana" w:hAnsi="Verdana"/>
          <w:sz w:val="20"/>
          <w:szCs w:val="20"/>
        </w:rPr>
        <w:t>7</w:t>
      </w:r>
      <w:r w:rsidRPr="0086035E">
        <w:rPr>
          <w:rFonts w:ascii="Verdana" w:hAnsi="Verdana"/>
          <w:sz w:val="20"/>
          <w:szCs w:val="20"/>
        </w:rPr>
        <w:t>.</w:t>
      </w:r>
    </w:p>
    <w:p w14:paraId="6AA9DB2B" w14:textId="7369D929" w:rsidR="00D75241" w:rsidRDefault="008A0B00" w:rsidP="00D75241">
      <w:pPr>
        <w:jc w:val="both"/>
        <w:rPr>
          <w:rFonts w:ascii="Verdana" w:hAnsi="Verdana"/>
          <w:sz w:val="20"/>
          <w:szCs w:val="20"/>
        </w:rPr>
      </w:pPr>
      <w:r w:rsidRPr="008A0B00">
        <w:rPr>
          <w:rFonts w:ascii="Verdana" w:hAnsi="Verdana"/>
          <w:sz w:val="20"/>
          <w:szCs w:val="20"/>
        </w:rPr>
        <w:t xml:space="preserve">Permitir medir la concentración del riesgo de contraparte tanto individual como global o consolidada de la contraparte en el mercado o mercados en donde opera la SCBV o la SCBA, cuando una o varias contrapartes tenga el carácter de vinculadas, de acuerdo con la periodicidad definida por la JD de la entidad. Para </w:t>
      </w:r>
      <w:r w:rsidR="00B95D96">
        <w:rPr>
          <w:rFonts w:ascii="Verdana" w:hAnsi="Verdana"/>
          <w:sz w:val="20"/>
          <w:szCs w:val="20"/>
        </w:rPr>
        <w:t>estos</w:t>
      </w:r>
      <w:r w:rsidR="00B95D96" w:rsidRPr="008A0B00">
        <w:rPr>
          <w:rFonts w:ascii="Verdana" w:hAnsi="Verdana"/>
          <w:sz w:val="20"/>
          <w:szCs w:val="20"/>
        </w:rPr>
        <w:t xml:space="preserve"> </w:t>
      </w:r>
      <w:r w:rsidRPr="008A0B00">
        <w:rPr>
          <w:rFonts w:ascii="Verdana" w:hAnsi="Verdana"/>
          <w:sz w:val="20"/>
          <w:szCs w:val="20"/>
        </w:rPr>
        <w:t xml:space="preserve">efectos se entiende como contraparte vinculada lo dispuesto en literal </w:t>
      </w:r>
      <w:r w:rsidR="002C2A78">
        <w:rPr>
          <w:rFonts w:ascii="Verdana" w:hAnsi="Verdana"/>
          <w:sz w:val="20"/>
          <w:szCs w:val="20"/>
        </w:rPr>
        <w:t>(</w:t>
      </w:r>
      <w:r w:rsidRPr="008A0B00">
        <w:rPr>
          <w:rFonts w:ascii="Verdana" w:hAnsi="Verdana"/>
          <w:sz w:val="20"/>
          <w:szCs w:val="20"/>
        </w:rPr>
        <w:t>b) del numeral 2 del artículo 7.3.1.1.2 del Decreto 2555 de 2010</w:t>
      </w:r>
      <w:r w:rsidR="00D75241" w:rsidRPr="008D72EE">
        <w:rPr>
          <w:rFonts w:ascii="Verdana" w:hAnsi="Verdana"/>
          <w:sz w:val="20"/>
          <w:szCs w:val="20"/>
        </w:rPr>
        <w:t>.</w:t>
      </w:r>
    </w:p>
    <w:p w14:paraId="1149F3B7" w14:textId="20E1DF93" w:rsidR="00D75241" w:rsidRPr="0086035E" w:rsidRDefault="00D75241" w:rsidP="00D75241">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3236FE">
        <w:rPr>
          <w:rFonts w:ascii="Verdana" w:hAnsi="Verdana"/>
          <w:sz w:val="20"/>
          <w:szCs w:val="20"/>
        </w:rPr>
        <w:t>4</w:t>
      </w:r>
      <w:r w:rsidR="005D3550">
        <w:rPr>
          <w:rFonts w:ascii="Verdana" w:hAnsi="Verdana"/>
          <w:sz w:val="20"/>
          <w:szCs w:val="20"/>
        </w:rPr>
        <w:t>8</w:t>
      </w:r>
      <w:r w:rsidRPr="0086035E">
        <w:rPr>
          <w:rFonts w:ascii="Verdana" w:hAnsi="Verdana"/>
          <w:sz w:val="20"/>
          <w:szCs w:val="20"/>
        </w:rPr>
        <w:t>.</w:t>
      </w:r>
    </w:p>
    <w:p w14:paraId="48B45D79" w14:textId="77777777" w:rsidR="00B17735" w:rsidRDefault="00B17735" w:rsidP="00D75241">
      <w:pPr>
        <w:jc w:val="both"/>
        <w:rPr>
          <w:rFonts w:ascii="Verdana" w:hAnsi="Verdana"/>
          <w:sz w:val="20"/>
          <w:szCs w:val="20"/>
        </w:rPr>
      </w:pPr>
      <w:r w:rsidRPr="00B17735">
        <w:rPr>
          <w:rFonts w:ascii="Verdana" w:hAnsi="Verdana"/>
          <w:sz w:val="20"/>
          <w:szCs w:val="20"/>
        </w:rPr>
        <w:t>En este sentido, la entidad debe realizar el análisis de la concentración tanto individual como global o consolidada de la contraparte y sus vinculados, con base en la información que repose en la propia entidad y aquella adicional que se encuentre disponible a través de otros mecanismos o herramientas autorizadas o habilitadas a las que tenga acceso</w:t>
      </w:r>
      <w:r w:rsidR="00D75241" w:rsidRPr="00B23292">
        <w:rPr>
          <w:rFonts w:ascii="Verdana" w:hAnsi="Verdana"/>
          <w:sz w:val="20"/>
          <w:szCs w:val="20"/>
        </w:rPr>
        <w:t>.</w:t>
      </w:r>
      <w:r w:rsidR="00D75241">
        <w:rPr>
          <w:rFonts w:ascii="Verdana" w:hAnsi="Verdana"/>
          <w:sz w:val="20"/>
          <w:szCs w:val="20"/>
        </w:rPr>
        <w:t xml:space="preserve"> </w:t>
      </w:r>
    </w:p>
    <w:p w14:paraId="4A72D9C7" w14:textId="13D321DC" w:rsidR="00B17735" w:rsidRPr="0086035E" w:rsidRDefault="00B17735" w:rsidP="00B17735">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A27977">
        <w:rPr>
          <w:rFonts w:ascii="Verdana" w:hAnsi="Verdana"/>
          <w:sz w:val="20"/>
          <w:szCs w:val="20"/>
        </w:rPr>
        <w:t>4</w:t>
      </w:r>
      <w:r w:rsidR="005D3550">
        <w:rPr>
          <w:rFonts w:ascii="Verdana" w:hAnsi="Verdana"/>
          <w:sz w:val="20"/>
          <w:szCs w:val="20"/>
        </w:rPr>
        <w:t>9</w:t>
      </w:r>
      <w:r w:rsidRPr="0086035E">
        <w:rPr>
          <w:rFonts w:ascii="Verdana" w:hAnsi="Verdana"/>
          <w:sz w:val="20"/>
          <w:szCs w:val="20"/>
        </w:rPr>
        <w:t>.</w:t>
      </w:r>
    </w:p>
    <w:p w14:paraId="2FDF9146" w14:textId="03B16F2D" w:rsidR="00CB30C4" w:rsidRPr="00443A04" w:rsidRDefault="00BC40CB" w:rsidP="00CB30C4">
      <w:pPr>
        <w:jc w:val="both"/>
        <w:rPr>
          <w:rFonts w:ascii="Verdana" w:hAnsi="Verdana"/>
          <w:sz w:val="20"/>
          <w:szCs w:val="20"/>
        </w:rPr>
      </w:pPr>
      <w:r w:rsidRPr="00BC40CB">
        <w:rPr>
          <w:rFonts w:ascii="Verdana" w:hAnsi="Verdana"/>
          <w:sz w:val="20"/>
          <w:szCs w:val="20"/>
        </w:rPr>
        <w:t>Analizar los mecanismos de pago de las operaciones por parte de sus contrapartes, así como los mecanismos de ejecución de garantías y de recuperación de las pérdidas causadas por los incumplimientos de sus contrapartes</w:t>
      </w:r>
      <w:r w:rsidR="003F6190">
        <w:rPr>
          <w:rFonts w:ascii="Verdana" w:hAnsi="Verdana"/>
          <w:sz w:val="20"/>
          <w:szCs w:val="20"/>
        </w:rPr>
        <w:t>.</w:t>
      </w:r>
    </w:p>
    <w:p w14:paraId="2ED4ED91" w14:textId="2D7A6A77" w:rsidR="00CB30C4" w:rsidRPr="00732E97" w:rsidRDefault="00CB30C4" w:rsidP="00CB30C4">
      <w:pPr>
        <w:pStyle w:val="Prrafodelista"/>
        <w:numPr>
          <w:ilvl w:val="0"/>
          <w:numId w:val="2"/>
        </w:numPr>
        <w:ind w:left="284" w:hanging="284"/>
        <w:jc w:val="both"/>
        <w:rPr>
          <w:rFonts w:ascii="Verdana" w:hAnsi="Verdana"/>
          <w:b/>
          <w:bCs/>
          <w:sz w:val="20"/>
          <w:szCs w:val="20"/>
        </w:rPr>
      </w:pPr>
      <w:r>
        <w:rPr>
          <w:rFonts w:ascii="Verdana" w:hAnsi="Verdana"/>
          <w:b/>
          <w:bCs/>
          <w:sz w:val="20"/>
          <w:szCs w:val="20"/>
        </w:rPr>
        <w:t>Medición</w:t>
      </w:r>
    </w:p>
    <w:p w14:paraId="4EEB0407" w14:textId="6D0E6E54" w:rsidR="00CB30C4" w:rsidRPr="00CB30C4" w:rsidRDefault="00CB30C4" w:rsidP="00CB30C4">
      <w:pPr>
        <w:spacing w:after="0"/>
        <w:jc w:val="both"/>
        <w:rPr>
          <w:rFonts w:ascii="Verdana" w:hAnsi="Verdana"/>
          <w:sz w:val="20"/>
          <w:szCs w:val="20"/>
        </w:rPr>
      </w:pPr>
      <w:r w:rsidRPr="00CB30C4">
        <w:rPr>
          <w:rFonts w:ascii="Verdana" w:hAnsi="Verdana"/>
          <w:sz w:val="20"/>
          <w:szCs w:val="20"/>
        </w:rPr>
        <w:t>1.1.2.2</w:t>
      </w:r>
      <w:r w:rsidR="005D3550">
        <w:rPr>
          <w:rFonts w:ascii="Verdana" w:hAnsi="Verdana"/>
          <w:sz w:val="20"/>
          <w:szCs w:val="20"/>
        </w:rPr>
        <w:t>50</w:t>
      </w:r>
      <w:r w:rsidRPr="00CB30C4">
        <w:rPr>
          <w:rFonts w:ascii="Verdana" w:hAnsi="Verdana"/>
          <w:sz w:val="20"/>
          <w:szCs w:val="20"/>
        </w:rPr>
        <w:t>.</w:t>
      </w:r>
    </w:p>
    <w:p w14:paraId="222F190A" w14:textId="0E116B3D" w:rsidR="00487298" w:rsidRPr="00443A04" w:rsidRDefault="006D722C" w:rsidP="00487298">
      <w:pPr>
        <w:jc w:val="both"/>
        <w:rPr>
          <w:rFonts w:ascii="Verdana" w:hAnsi="Verdana"/>
          <w:sz w:val="20"/>
          <w:szCs w:val="20"/>
        </w:rPr>
      </w:pPr>
      <w:r w:rsidRPr="006D722C">
        <w:rPr>
          <w:rFonts w:ascii="Verdana" w:hAnsi="Verdana"/>
          <w:sz w:val="20"/>
          <w:szCs w:val="20"/>
        </w:rPr>
        <w:t>Las SCBV y las SCBA deben determinar la probabilidad de ocurrencia del riesgo de contraparte, partiendo de la identificación, registro y análisis de los eventos que se hayan materializado durante un periodo de tiempo, el cual debe ser definido por la JD de la entidad. Para tal efecto, las entidades podrán adoptar las medidas que les permitan identificar las causas de los eventos, implementar los correctivos y controles necesarios para prevenirlos y desarrollar a futuro una medición cuantitativa del impacto del riesgo de contraparte</w:t>
      </w:r>
      <w:r w:rsidR="003F0830">
        <w:rPr>
          <w:rFonts w:ascii="Verdana" w:hAnsi="Verdana"/>
          <w:sz w:val="20"/>
          <w:szCs w:val="20"/>
        </w:rPr>
        <w:t>.</w:t>
      </w:r>
    </w:p>
    <w:p w14:paraId="03E06B1B" w14:textId="6DA90356" w:rsidR="00487298" w:rsidRPr="00732E97" w:rsidRDefault="00487298" w:rsidP="00487298">
      <w:pPr>
        <w:pStyle w:val="Prrafodelista"/>
        <w:numPr>
          <w:ilvl w:val="0"/>
          <w:numId w:val="2"/>
        </w:numPr>
        <w:ind w:left="284" w:hanging="284"/>
        <w:jc w:val="both"/>
        <w:rPr>
          <w:rFonts w:ascii="Verdana" w:hAnsi="Verdana"/>
          <w:b/>
          <w:bCs/>
          <w:sz w:val="20"/>
          <w:szCs w:val="20"/>
        </w:rPr>
      </w:pPr>
      <w:r>
        <w:rPr>
          <w:rFonts w:ascii="Verdana" w:hAnsi="Verdana"/>
          <w:b/>
          <w:bCs/>
          <w:sz w:val="20"/>
          <w:szCs w:val="20"/>
        </w:rPr>
        <w:t>Control</w:t>
      </w:r>
    </w:p>
    <w:p w14:paraId="53798F73" w14:textId="7DF24A47" w:rsidR="00487298" w:rsidRPr="00CB30C4" w:rsidRDefault="00487298" w:rsidP="00487298">
      <w:pPr>
        <w:spacing w:after="0"/>
        <w:jc w:val="both"/>
        <w:rPr>
          <w:rFonts w:ascii="Verdana" w:hAnsi="Verdana"/>
          <w:sz w:val="20"/>
          <w:szCs w:val="20"/>
        </w:rPr>
      </w:pPr>
      <w:r w:rsidRPr="00CB30C4">
        <w:rPr>
          <w:rFonts w:ascii="Verdana" w:hAnsi="Verdana"/>
          <w:sz w:val="20"/>
          <w:szCs w:val="20"/>
        </w:rPr>
        <w:t>1.1.2.2</w:t>
      </w:r>
      <w:r w:rsidR="005D3550">
        <w:rPr>
          <w:rFonts w:ascii="Verdana" w:hAnsi="Verdana"/>
          <w:sz w:val="20"/>
          <w:szCs w:val="20"/>
        </w:rPr>
        <w:t>51</w:t>
      </w:r>
      <w:r w:rsidRPr="00CB30C4">
        <w:rPr>
          <w:rFonts w:ascii="Verdana" w:hAnsi="Verdana"/>
          <w:sz w:val="20"/>
          <w:szCs w:val="20"/>
        </w:rPr>
        <w:t>.</w:t>
      </w:r>
    </w:p>
    <w:p w14:paraId="2F63A766" w14:textId="798101CB" w:rsidR="000D1D43" w:rsidRPr="00CB30C4" w:rsidRDefault="00487298" w:rsidP="00487298">
      <w:pPr>
        <w:jc w:val="both"/>
        <w:rPr>
          <w:rFonts w:ascii="Verdana" w:hAnsi="Verdana"/>
          <w:sz w:val="20"/>
          <w:szCs w:val="20"/>
        </w:rPr>
      </w:pPr>
      <w:r w:rsidRPr="00487298">
        <w:rPr>
          <w:rFonts w:ascii="Verdana" w:hAnsi="Verdana"/>
          <w:sz w:val="20"/>
          <w:szCs w:val="20"/>
        </w:rPr>
        <w:t xml:space="preserve">La gestión del riesgo de contraparte debe permitir a las entidades tomar las medidas conducentes a controlar el riesgo de contraparte al que se ven expuestas en el desarrollo </w:t>
      </w:r>
      <w:r w:rsidRPr="00487298">
        <w:rPr>
          <w:rFonts w:ascii="Verdana" w:hAnsi="Verdana"/>
          <w:sz w:val="20"/>
          <w:szCs w:val="20"/>
        </w:rPr>
        <w:lastRenderedPageBreak/>
        <w:t>de sus operaciones, tanto por cuenta propia como aquellas realizadas por cuenta de sus clientes</w:t>
      </w:r>
      <w:r w:rsidR="000D1D43" w:rsidRPr="006D722C">
        <w:rPr>
          <w:rFonts w:ascii="Verdana" w:hAnsi="Verdana"/>
          <w:sz w:val="20"/>
          <w:szCs w:val="20"/>
        </w:rPr>
        <w:t>.</w:t>
      </w:r>
    </w:p>
    <w:p w14:paraId="56F5B2FE" w14:textId="705D67FF" w:rsidR="00524F59" w:rsidRPr="00CB30C4" w:rsidRDefault="00524F59" w:rsidP="00524F59">
      <w:pPr>
        <w:spacing w:after="0"/>
        <w:jc w:val="both"/>
        <w:rPr>
          <w:rFonts w:ascii="Verdana" w:hAnsi="Verdana"/>
          <w:sz w:val="20"/>
          <w:szCs w:val="20"/>
        </w:rPr>
      </w:pPr>
      <w:r w:rsidRPr="00CB30C4">
        <w:rPr>
          <w:rFonts w:ascii="Verdana" w:hAnsi="Verdana"/>
          <w:sz w:val="20"/>
          <w:szCs w:val="20"/>
        </w:rPr>
        <w:t>1.1.2.2</w:t>
      </w:r>
      <w:r>
        <w:rPr>
          <w:rFonts w:ascii="Verdana" w:hAnsi="Verdana"/>
          <w:sz w:val="20"/>
          <w:szCs w:val="20"/>
        </w:rPr>
        <w:t>5</w:t>
      </w:r>
      <w:r w:rsidR="005D3550">
        <w:rPr>
          <w:rFonts w:ascii="Verdana" w:hAnsi="Verdana"/>
          <w:sz w:val="20"/>
          <w:szCs w:val="20"/>
        </w:rPr>
        <w:t>2</w:t>
      </w:r>
      <w:r w:rsidRPr="00CB30C4">
        <w:rPr>
          <w:rFonts w:ascii="Verdana" w:hAnsi="Verdana"/>
          <w:sz w:val="20"/>
          <w:szCs w:val="20"/>
        </w:rPr>
        <w:t>.</w:t>
      </w:r>
    </w:p>
    <w:p w14:paraId="38DD3ABD" w14:textId="77777777" w:rsidR="00FE55BF" w:rsidRDefault="00DA45F4" w:rsidP="00FE55BF">
      <w:pPr>
        <w:jc w:val="both"/>
        <w:rPr>
          <w:rFonts w:ascii="Verdana" w:hAnsi="Verdana"/>
          <w:sz w:val="20"/>
          <w:szCs w:val="20"/>
        </w:rPr>
      </w:pPr>
      <w:r w:rsidRPr="00DA45F4">
        <w:rPr>
          <w:rFonts w:ascii="Verdana" w:hAnsi="Verdana"/>
          <w:sz w:val="20"/>
          <w:szCs w:val="20"/>
        </w:rPr>
        <w:t>Las medidas de control deben cumplir con los siguientes requisitos mínimos:</w:t>
      </w:r>
    </w:p>
    <w:p w14:paraId="3ACBCAB2" w14:textId="77777777" w:rsidR="00FE55BF" w:rsidRDefault="00FE55BF" w:rsidP="00FE55BF">
      <w:pPr>
        <w:pStyle w:val="Prrafodelista"/>
        <w:numPr>
          <w:ilvl w:val="0"/>
          <w:numId w:val="79"/>
        </w:numPr>
        <w:ind w:left="567" w:hanging="567"/>
        <w:jc w:val="both"/>
        <w:rPr>
          <w:rFonts w:ascii="Verdana" w:hAnsi="Verdana"/>
          <w:sz w:val="20"/>
          <w:szCs w:val="20"/>
        </w:rPr>
      </w:pPr>
      <w:r w:rsidRPr="00FE55BF">
        <w:rPr>
          <w:rFonts w:ascii="Verdana" w:hAnsi="Verdana"/>
          <w:sz w:val="20"/>
          <w:szCs w:val="20"/>
        </w:rPr>
        <w:t>Estar aprobadas por la JD de la entidad.</w:t>
      </w:r>
    </w:p>
    <w:p w14:paraId="2BE7DE80" w14:textId="77777777" w:rsidR="00FE55BF" w:rsidRDefault="00FE55BF" w:rsidP="00FE55BF">
      <w:pPr>
        <w:pStyle w:val="Prrafodelista"/>
        <w:ind w:left="567"/>
        <w:jc w:val="both"/>
        <w:rPr>
          <w:rFonts w:ascii="Verdana" w:hAnsi="Verdana"/>
          <w:sz w:val="20"/>
          <w:szCs w:val="20"/>
        </w:rPr>
      </w:pPr>
    </w:p>
    <w:p w14:paraId="4B2A75DF" w14:textId="77777777" w:rsidR="00FE55BF" w:rsidRDefault="00FE55BF" w:rsidP="00FE55BF">
      <w:pPr>
        <w:pStyle w:val="Prrafodelista"/>
        <w:numPr>
          <w:ilvl w:val="0"/>
          <w:numId w:val="79"/>
        </w:numPr>
        <w:ind w:left="567" w:hanging="567"/>
        <w:jc w:val="both"/>
        <w:rPr>
          <w:rFonts w:ascii="Verdana" w:hAnsi="Verdana"/>
          <w:sz w:val="20"/>
          <w:szCs w:val="20"/>
        </w:rPr>
      </w:pPr>
      <w:r w:rsidRPr="00FE55BF">
        <w:rPr>
          <w:rFonts w:ascii="Verdana" w:hAnsi="Verdana"/>
          <w:sz w:val="20"/>
          <w:szCs w:val="20"/>
        </w:rPr>
        <w:t>Guardar proporción con el volumen y la complejidad de las operaciones desarrolladas por la entidad, de forma tal que haya correspondencia entre el modelo de administración del riesgo y las operaciones desarrolladas.</w:t>
      </w:r>
    </w:p>
    <w:p w14:paraId="36F8C04F" w14:textId="77777777" w:rsidR="00FE55BF" w:rsidRPr="00FE55BF" w:rsidRDefault="00FE55BF" w:rsidP="00FE55BF">
      <w:pPr>
        <w:pStyle w:val="Prrafodelista"/>
        <w:jc w:val="both"/>
        <w:rPr>
          <w:rFonts w:ascii="Verdana" w:hAnsi="Verdana"/>
          <w:sz w:val="20"/>
          <w:szCs w:val="20"/>
        </w:rPr>
      </w:pPr>
    </w:p>
    <w:p w14:paraId="37F2D493" w14:textId="77777777" w:rsidR="00FE55BF" w:rsidRDefault="00FE55BF" w:rsidP="00FE55BF">
      <w:pPr>
        <w:pStyle w:val="Prrafodelista"/>
        <w:numPr>
          <w:ilvl w:val="0"/>
          <w:numId w:val="79"/>
        </w:numPr>
        <w:ind w:left="567" w:hanging="567"/>
        <w:jc w:val="both"/>
        <w:rPr>
          <w:rFonts w:ascii="Verdana" w:hAnsi="Verdana"/>
          <w:sz w:val="20"/>
          <w:szCs w:val="20"/>
        </w:rPr>
      </w:pPr>
      <w:r w:rsidRPr="00FE55BF">
        <w:rPr>
          <w:rFonts w:ascii="Verdana" w:hAnsi="Verdana"/>
          <w:sz w:val="20"/>
          <w:szCs w:val="20"/>
        </w:rPr>
        <w:t>Permitir el control de los niveles de exposición al riesgo de contraparte y de los límites generales y especiales impuestos por la entidad, de acuerdo con la estructura, características y operaciones autorizadas con cada contraparte.</w:t>
      </w:r>
    </w:p>
    <w:p w14:paraId="79D1D162" w14:textId="77777777" w:rsidR="00FE55BF" w:rsidRPr="00FE55BF" w:rsidRDefault="00FE55BF" w:rsidP="00FE55BF">
      <w:pPr>
        <w:pStyle w:val="Prrafodelista"/>
        <w:jc w:val="both"/>
        <w:rPr>
          <w:rFonts w:ascii="Verdana" w:hAnsi="Verdana"/>
          <w:sz w:val="20"/>
          <w:szCs w:val="20"/>
        </w:rPr>
      </w:pPr>
    </w:p>
    <w:p w14:paraId="5A232EAE" w14:textId="77777777" w:rsidR="003F0830" w:rsidRDefault="00FE55BF" w:rsidP="003F0830">
      <w:pPr>
        <w:pStyle w:val="Prrafodelista"/>
        <w:numPr>
          <w:ilvl w:val="0"/>
          <w:numId w:val="79"/>
        </w:numPr>
        <w:ind w:left="567" w:hanging="567"/>
        <w:jc w:val="both"/>
        <w:rPr>
          <w:rFonts w:ascii="Verdana" w:hAnsi="Verdana"/>
          <w:sz w:val="20"/>
          <w:szCs w:val="20"/>
        </w:rPr>
      </w:pPr>
      <w:r w:rsidRPr="00FE55BF">
        <w:rPr>
          <w:rFonts w:ascii="Verdana" w:hAnsi="Verdana"/>
          <w:sz w:val="20"/>
          <w:szCs w:val="20"/>
        </w:rPr>
        <w:t>Considerar la estrategia de la entidad, las prácticas generales de sus operaciones y las condiciones del mercado.</w:t>
      </w:r>
    </w:p>
    <w:p w14:paraId="12C2AD18" w14:textId="77777777" w:rsidR="003F0830" w:rsidRPr="003F0830" w:rsidRDefault="003F0830" w:rsidP="003F0830">
      <w:pPr>
        <w:pStyle w:val="Prrafodelista"/>
        <w:rPr>
          <w:rFonts w:ascii="Verdana" w:hAnsi="Verdana"/>
          <w:sz w:val="20"/>
          <w:szCs w:val="20"/>
        </w:rPr>
      </w:pPr>
    </w:p>
    <w:p w14:paraId="49B44E43" w14:textId="4E637F9B" w:rsidR="003F0830" w:rsidRDefault="00FE55BF" w:rsidP="003F0830">
      <w:pPr>
        <w:pStyle w:val="Prrafodelista"/>
        <w:numPr>
          <w:ilvl w:val="0"/>
          <w:numId w:val="79"/>
        </w:numPr>
        <w:ind w:left="567" w:hanging="567"/>
        <w:jc w:val="both"/>
        <w:rPr>
          <w:rFonts w:ascii="Verdana" w:hAnsi="Verdana"/>
          <w:sz w:val="20"/>
          <w:szCs w:val="20"/>
        </w:rPr>
      </w:pPr>
      <w:r w:rsidRPr="003F0830">
        <w:rPr>
          <w:rFonts w:ascii="Verdana" w:hAnsi="Verdana"/>
          <w:sz w:val="20"/>
          <w:szCs w:val="20"/>
        </w:rPr>
        <w:t>Incluir planes de recuperación de cartera cuando se presentan incumplimientos, incorporando los recursos humanos, financieros y legales necesarios para ejecutarlos</w:t>
      </w:r>
      <w:r w:rsidR="003F0830" w:rsidRPr="003F0830">
        <w:rPr>
          <w:rFonts w:ascii="Verdana" w:hAnsi="Verdana"/>
          <w:sz w:val="20"/>
          <w:szCs w:val="20"/>
        </w:rPr>
        <w:t>.</w:t>
      </w:r>
    </w:p>
    <w:p w14:paraId="63F48918" w14:textId="77777777" w:rsidR="003F0830" w:rsidRPr="003F0830" w:rsidRDefault="003F0830" w:rsidP="003F0830">
      <w:pPr>
        <w:pStyle w:val="Prrafodelista"/>
        <w:rPr>
          <w:rFonts w:ascii="Verdana" w:hAnsi="Verdana"/>
          <w:sz w:val="20"/>
          <w:szCs w:val="20"/>
        </w:rPr>
      </w:pPr>
    </w:p>
    <w:p w14:paraId="252B3D41" w14:textId="086FB8DD" w:rsidR="003F0830" w:rsidRPr="00732E97" w:rsidRDefault="00CC088A" w:rsidP="003F0830">
      <w:pPr>
        <w:pStyle w:val="Prrafodelista"/>
        <w:numPr>
          <w:ilvl w:val="0"/>
          <w:numId w:val="2"/>
        </w:numPr>
        <w:ind w:left="284" w:hanging="284"/>
        <w:jc w:val="both"/>
        <w:rPr>
          <w:rFonts w:ascii="Verdana" w:hAnsi="Verdana"/>
          <w:b/>
          <w:bCs/>
          <w:sz w:val="20"/>
          <w:szCs w:val="20"/>
        </w:rPr>
      </w:pPr>
      <w:r>
        <w:rPr>
          <w:rFonts w:ascii="Verdana" w:hAnsi="Verdana"/>
          <w:b/>
          <w:bCs/>
          <w:sz w:val="20"/>
          <w:szCs w:val="20"/>
        </w:rPr>
        <w:t>Monitoreo</w:t>
      </w:r>
    </w:p>
    <w:p w14:paraId="06D9A316" w14:textId="1D4F30E3" w:rsidR="003F0830" w:rsidRPr="00CB30C4" w:rsidRDefault="003F0830" w:rsidP="003F0830">
      <w:pPr>
        <w:spacing w:after="0"/>
        <w:jc w:val="both"/>
        <w:rPr>
          <w:rFonts w:ascii="Verdana" w:hAnsi="Verdana"/>
          <w:sz w:val="20"/>
          <w:szCs w:val="20"/>
        </w:rPr>
      </w:pPr>
      <w:r w:rsidRPr="00CB30C4">
        <w:rPr>
          <w:rFonts w:ascii="Verdana" w:hAnsi="Verdana"/>
          <w:sz w:val="20"/>
          <w:szCs w:val="20"/>
        </w:rPr>
        <w:t>1.1.2.2</w:t>
      </w:r>
      <w:r w:rsidR="00CC088A">
        <w:rPr>
          <w:rFonts w:ascii="Verdana" w:hAnsi="Verdana"/>
          <w:sz w:val="20"/>
          <w:szCs w:val="20"/>
        </w:rPr>
        <w:t>5</w:t>
      </w:r>
      <w:r w:rsidR="005D3550">
        <w:rPr>
          <w:rFonts w:ascii="Verdana" w:hAnsi="Verdana"/>
          <w:sz w:val="20"/>
          <w:szCs w:val="20"/>
        </w:rPr>
        <w:t>3</w:t>
      </w:r>
      <w:r w:rsidRPr="00CB30C4">
        <w:rPr>
          <w:rFonts w:ascii="Verdana" w:hAnsi="Verdana"/>
          <w:sz w:val="20"/>
          <w:szCs w:val="20"/>
        </w:rPr>
        <w:t>.</w:t>
      </w:r>
    </w:p>
    <w:p w14:paraId="5F002969" w14:textId="77777777" w:rsidR="00C93176" w:rsidRDefault="00AE6725" w:rsidP="00AE6725">
      <w:pPr>
        <w:jc w:val="both"/>
        <w:rPr>
          <w:rFonts w:ascii="Verdana" w:hAnsi="Verdana"/>
          <w:sz w:val="20"/>
          <w:szCs w:val="20"/>
        </w:rPr>
      </w:pPr>
      <w:r w:rsidRPr="00AE6725">
        <w:rPr>
          <w:rFonts w:ascii="Verdana" w:hAnsi="Verdana"/>
          <w:sz w:val="20"/>
          <w:szCs w:val="20"/>
        </w:rPr>
        <w:t>La entidad debe llevar a cabo un seguimiento y control permanente de su exposición al riesgo de contraparte, tanto de las posiciones por cuenta propia como por cuenta de sus clientes. Así mismo, debe contar con un procedimiento de revisión permanente de los límites asignados a sus contrapartes para las diferentes operaciones según las políticas y frecuencia definidas por la JD</w:t>
      </w:r>
      <w:r>
        <w:rPr>
          <w:rFonts w:ascii="Verdana" w:hAnsi="Verdana"/>
          <w:sz w:val="20"/>
          <w:szCs w:val="20"/>
        </w:rPr>
        <w:t>.</w:t>
      </w:r>
    </w:p>
    <w:p w14:paraId="24418061" w14:textId="378510F8" w:rsidR="00C93176" w:rsidRPr="00CB30C4" w:rsidRDefault="00C93176" w:rsidP="00C93176">
      <w:pPr>
        <w:spacing w:after="0"/>
        <w:jc w:val="both"/>
        <w:rPr>
          <w:rFonts w:ascii="Verdana" w:hAnsi="Verdana"/>
          <w:sz w:val="20"/>
          <w:szCs w:val="20"/>
        </w:rPr>
      </w:pPr>
      <w:r w:rsidRPr="00CB30C4">
        <w:rPr>
          <w:rFonts w:ascii="Verdana" w:hAnsi="Verdana"/>
          <w:sz w:val="20"/>
          <w:szCs w:val="20"/>
        </w:rPr>
        <w:t>1.1.2.2</w:t>
      </w:r>
      <w:r>
        <w:rPr>
          <w:rFonts w:ascii="Verdana" w:hAnsi="Verdana"/>
          <w:sz w:val="20"/>
          <w:szCs w:val="20"/>
        </w:rPr>
        <w:t>5</w:t>
      </w:r>
      <w:r w:rsidR="005D3550">
        <w:rPr>
          <w:rFonts w:ascii="Verdana" w:hAnsi="Verdana"/>
          <w:sz w:val="20"/>
          <w:szCs w:val="20"/>
        </w:rPr>
        <w:t>4</w:t>
      </w:r>
      <w:r w:rsidRPr="00CB30C4">
        <w:rPr>
          <w:rFonts w:ascii="Verdana" w:hAnsi="Verdana"/>
          <w:sz w:val="20"/>
          <w:szCs w:val="20"/>
        </w:rPr>
        <w:t>.</w:t>
      </w:r>
    </w:p>
    <w:p w14:paraId="10F3ACD2" w14:textId="77777777" w:rsidR="004D03D5" w:rsidRDefault="00983F0E" w:rsidP="00C93176">
      <w:pPr>
        <w:jc w:val="both"/>
        <w:rPr>
          <w:rFonts w:ascii="Verdana" w:hAnsi="Verdana"/>
          <w:sz w:val="20"/>
          <w:szCs w:val="20"/>
        </w:rPr>
      </w:pPr>
      <w:r w:rsidRPr="00983F0E">
        <w:rPr>
          <w:rFonts w:ascii="Verdana" w:hAnsi="Verdana"/>
          <w:sz w:val="20"/>
          <w:szCs w:val="20"/>
        </w:rPr>
        <w:t>El monitoreo debe cumplir con los siguientes requisitos mínimos:</w:t>
      </w:r>
    </w:p>
    <w:p w14:paraId="703F0F92" w14:textId="77777777" w:rsidR="004D03D5" w:rsidRDefault="004D03D5" w:rsidP="004D03D5">
      <w:pPr>
        <w:pStyle w:val="Prrafodelista"/>
        <w:numPr>
          <w:ilvl w:val="0"/>
          <w:numId w:val="80"/>
        </w:numPr>
        <w:ind w:left="567" w:hanging="567"/>
        <w:jc w:val="both"/>
        <w:rPr>
          <w:rFonts w:ascii="Verdana" w:hAnsi="Verdana"/>
          <w:sz w:val="20"/>
          <w:szCs w:val="20"/>
        </w:rPr>
      </w:pPr>
      <w:r w:rsidRPr="004D03D5">
        <w:rPr>
          <w:rFonts w:ascii="Verdana" w:hAnsi="Verdana"/>
          <w:sz w:val="20"/>
          <w:szCs w:val="20"/>
        </w:rPr>
        <w:t>Guardar correspondencia con el volumen y complejidad de las operaciones o productos desarrollados por la entidad.</w:t>
      </w:r>
    </w:p>
    <w:p w14:paraId="012B8966" w14:textId="77777777" w:rsidR="004D03D5" w:rsidRDefault="004D03D5" w:rsidP="004D03D5">
      <w:pPr>
        <w:pStyle w:val="Prrafodelista"/>
        <w:ind w:left="567"/>
        <w:jc w:val="both"/>
        <w:rPr>
          <w:rFonts w:ascii="Verdana" w:hAnsi="Verdana"/>
          <w:sz w:val="20"/>
          <w:szCs w:val="20"/>
        </w:rPr>
      </w:pPr>
    </w:p>
    <w:p w14:paraId="3B45AB6C" w14:textId="77777777" w:rsidR="004D03D5" w:rsidRDefault="004D03D5" w:rsidP="004D03D5">
      <w:pPr>
        <w:pStyle w:val="Prrafodelista"/>
        <w:numPr>
          <w:ilvl w:val="0"/>
          <w:numId w:val="80"/>
        </w:numPr>
        <w:ind w:left="567" w:hanging="567"/>
        <w:jc w:val="both"/>
        <w:rPr>
          <w:rFonts w:ascii="Verdana" w:hAnsi="Verdana"/>
          <w:sz w:val="20"/>
          <w:szCs w:val="20"/>
        </w:rPr>
      </w:pPr>
      <w:r w:rsidRPr="004D03D5">
        <w:rPr>
          <w:rFonts w:ascii="Verdana" w:hAnsi="Verdana"/>
          <w:sz w:val="20"/>
          <w:szCs w:val="20"/>
        </w:rPr>
        <w:t>Permitir el seguimiento de los niveles de exposición al riesgo de contraparte y de los límites generales y específicos establecidos por la entidad, según su estructura, características y operaciones autorizadas.</w:t>
      </w:r>
    </w:p>
    <w:p w14:paraId="7ACE1E2E" w14:textId="77777777" w:rsidR="004D03D5" w:rsidRPr="004D03D5" w:rsidRDefault="004D03D5" w:rsidP="004D03D5">
      <w:pPr>
        <w:pStyle w:val="Prrafodelista"/>
        <w:rPr>
          <w:rFonts w:ascii="Verdana" w:hAnsi="Verdana"/>
          <w:sz w:val="20"/>
          <w:szCs w:val="20"/>
        </w:rPr>
      </w:pPr>
    </w:p>
    <w:p w14:paraId="3B99BE2D" w14:textId="77777777" w:rsidR="004D03D5" w:rsidRDefault="004D03D5" w:rsidP="004D03D5">
      <w:pPr>
        <w:pStyle w:val="Prrafodelista"/>
        <w:numPr>
          <w:ilvl w:val="0"/>
          <w:numId w:val="80"/>
        </w:numPr>
        <w:ind w:left="567" w:hanging="567"/>
        <w:jc w:val="both"/>
        <w:rPr>
          <w:rFonts w:ascii="Verdana" w:hAnsi="Verdana"/>
          <w:sz w:val="20"/>
          <w:szCs w:val="20"/>
        </w:rPr>
      </w:pPr>
      <w:r w:rsidRPr="004D03D5">
        <w:rPr>
          <w:rFonts w:ascii="Verdana" w:hAnsi="Verdana"/>
          <w:sz w:val="20"/>
          <w:szCs w:val="20"/>
        </w:rPr>
        <w:t>Permitir la elaboración de reportes gerenciales y de monitoreo del riesgo de contraparte que evalúen los resultados de las estrategias de la entidad e incluyan el resumen de las posiciones y contrapartes que contribuyen significativamente a dicho riesgo.</w:t>
      </w:r>
    </w:p>
    <w:p w14:paraId="14219B7E" w14:textId="77777777" w:rsidR="004D03D5" w:rsidRPr="004D03D5" w:rsidRDefault="004D03D5" w:rsidP="004D03D5">
      <w:pPr>
        <w:pStyle w:val="Prrafodelista"/>
        <w:rPr>
          <w:rFonts w:ascii="Verdana" w:hAnsi="Verdana"/>
          <w:sz w:val="20"/>
          <w:szCs w:val="20"/>
        </w:rPr>
      </w:pPr>
    </w:p>
    <w:p w14:paraId="55A60191" w14:textId="77777777" w:rsidR="004D03D5" w:rsidRDefault="004D03D5" w:rsidP="004D03D5">
      <w:pPr>
        <w:pStyle w:val="Prrafodelista"/>
        <w:numPr>
          <w:ilvl w:val="0"/>
          <w:numId w:val="80"/>
        </w:numPr>
        <w:ind w:left="567" w:hanging="567"/>
        <w:jc w:val="both"/>
        <w:rPr>
          <w:rFonts w:ascii="Verdana" w:hAnsi="Verdana"/>
          <w:sz w:val="20"/>
          <w:szCs w:val="20"/>
        </w:rPr>
      </w:pPr>
      <w:r w:rsidRPr="004D03D5">
        <w:rPr>
          <w:rFonts w:ascii="Verdana" w:hAnsi="Verdana"/>
          <w:sz w:val="20"/>
          <w:szCs w:val="20"/>
        </w:rPr>
        <w:t>Analizar cómo la liquidez de las posiciones de los clientes en operaciones pendientes de cumplimiento podría generar riesgo de contraparte.</w:t>
      </w:r>
    </w:p>
    <w:p w14:paraId="5C9706CB" w14:textId="77777777" w:rsidR="004D03D5" w:rsidRPr="004D03D5" w:rsidRDefault="004D03D5" w:rsidP="004D03D5">
      <w:pPr>
        <w:pStyle w:val="Prrafodelista"/>
        <w:rPr>
          <w:rFonts w:ascii="Verdana" w:hAnsi="Verdana"/>
          <w:sz w:val="20"/>
          <w:szCs w:val="20"/>
        </w:rPr>
      </w:pPr>
    </w:p>
    <w:p w14:paraId="704187BB" w14:textId="7D54D6AC" w:rsidR="0003263B" w:rsidRDefault="004D03D5" w:rsidP="0003263B">
      <w:pPr>
        <w:pStyle w:val="Prrafodelista"/>
        <w:numPr>
          <w:ilvl w:val="0"/>
          <w:numId w:val="80"/>
        </w:numPr>
        <w:ind w:left="567" w:hanging="567"/>
        <w:jc w:val="both"/>
        <w:rPr>
          <w:rFonts w:ascii="Verdana" w:hAnsi="Verdana"/>
          <w:sz w:val="20"/>
          <w:szCs w:val="20"/>
        </w:rPr>
      </w:pPr>
      <w:r w:rsidRPr="004D03D5">
        <w:rPr>
          <w:rFonts w:ascii="Verdana" w:hAnsi="Verdana"/>
          <w:sz w:val="20"/>
          <w:szCs w:val="20"/>
        </w:rPr>
        <w:t>Controlar el cumplimiento de los cupos de contraparte, y la constitución y ajuste de garantías de conformidad con las políticas de gestión de riesgos.</w:t>
      </w:r>
      <w:r w:rsidR="00C93176" w:rsidRPr="004D03D5">
        <w:rPr>
          <w:rFonts w:ascii="Verdana" w:hAnsi="Verdana"/>
          <w:sz w:val="20"/>
          <w:szCs w:val="20"/>
        </w:rPr>
        <w:t xml:space="preserve"> </w:t>
      </w:r>
    </w:p>
    <w:p w14:paraId="1D00F15E" w14:textId="05751D16" w:rsidR="0003263B" w:rsidRPr="0003263B" w:rsidRDefault="00747818" w:rsidP="0003263B">
      <w:pPr>
        <w:jc w:val="both"/>
        <w:rPr>
          <w:rFonts w:ascii="Verdana" w:hAnsi="Verdana"/>
          <w:b/>
          <w:bCs/>
          <w:sz w:val="20"/>
          <w:szCs w:val="20"/>
        </w:rPr>
      </w:pPr>
      <w:r>
        <w:rPr>
          <w:rFonts w:ascii="Verdana" w:hAnsi="Verdana"/>
          <w:b/>
          <w:bCs/>
          <w:sz w:val="20"/>
          <w:szCs w:val="20"/>
        </w:rPr>
        <w:t>Sistemas de información</w:t>
      </w:r>
    </w:p>
    <w:p w14:paraId="4838744C" w14:textId="3972CFEB" w:rsidR="0003263B" w:rsidRPr="0003263B" w:rsidRDefault="0003263B" w:rsidP="0003263B">
      <w:pPr>
        <w:spacing w:after="0"/>
        <w:jc w:val="both"/>
        <w:rPr>
          <w:rFonts w:ascii="Verdana" w:hAnsi="Verdana"/>
          <w:sz w:val="20"/>
          <w:szCs w:val="20"/>
        </w:rPr>
      </w:pPr>
      <w:r w:rsidRPr="0003263B">
        <w:rPr>
          <w:rFonts w:ascii="Verdana" w:hAnsi="Verdana"/>
          <w:sz w:val="20"/>
          <w:szCs w:val="20"/>
        </w:rPr>
        <w:t>1.1.2.2</w:t>
      </w:r>
      <w:r>
        <w:rPr>
          <w:rFonts w:ascii="Verdana" w:hAnsi="Verdana"/>
          <w:sz w:val="20"/>
          <w:szCs w:val="20"/>
        </w:rPr>
        <w:t>5</w:t>
      </w:r>
      <w:r w:rsidR="008721E3">
        <w:rPr>
          <w:rFonts w:ascii="Verdana" w:hAnsi="Verdana"/>
          <w:sz w:val="20"/>
          <w:szCs w:val="20"/>
        </w:rPr>
        <w:t>5</w:t>
      </w:r>
      <w:r w:rsidRPr="0003263B">
        <w:rPr>
          <w:rFonts w:ascii="Verdana" w:hAnsi="Verdana"/>
          <w:sz w:val="20"/>
          <w:szCs w:val="20"/>
        </w:rPr>
        <w:t>.</w:t>
      </w:r>
    </w:p>
    <w:p w14:paraId="66B0C92F" w14:textId="65A5CE10" w:rsidR="00BC34A4" w:rsidRPr="00BC34A4" w:rsidRDefault="00BC34A4" w:rsidP="00BC34A4">
      <w:pPr>
        <w:jc w:val="both"/>
        <w:rPr>
          <w:rFonts w:ascii="Verdana" w:hAnsi="Verdana"/>
          <w:sz w:val="20"/>
          <w:szCs w:val="20"/>
        </w:rPr>
      </w:pPr>
      <w:r w:rsidRPr="00BC34A4">
        <w:rPr>
          <w:rFonts w:ascii="Verdana" w:hAnsi="Verdana"/>
          <w:sz w:val="20"/>
          <w:szCs w:val="20"/>
        </w:rPr>
        <w:t>Los sistemas de información deben permitirle a la entidad documentar el estudio del perfil de riesgo cada uno de los clientes en el momento de su vinculación y realizar las revisiones con la periodicidad definida por la JD.</w:t>
      </w:r>
    </w:p>
    <w:p w14:paraId="135B12AB" w14:textId="6CBDE0A6" w:rsidR="00BC34A4" w:rsidRPr="0003263B" w:rsidRDefault="00BC34A4" w:rsidP="00BC34A4">
      <w:pPr>
        <w:spacing w:after="0"/>
        <w:jc w:val="both"/>
        <w:rPr>
          <w:rFonts w:ascii="Verdana" w:hAnsi="Verdana"/>
          <w:sz w:val="20"/>
          <w:szCs w:val="20"/>
        </w:rPr>
      </w:pPr>
      <w:r w:rsidRPr="0003263B">
        <w:rPr>
          <w:rFonts w:ascii="Verdana" w:hAnsi="Verdana"/>
          <w:sz w:val="20"/>
          <w:szCs w:val="20"/>
        </w:rPr>
        <w:t>1.1.2.2</w:t>
      </w:r>
      <w:r>
        <w:rPr>
          <w:rFonts w:ascii="Verdana" w:hAnsi="Verdana"/>
          <w:sz w:val="20"/>
          <w:szCs w:val="20"/>
        </w:rPr>
        <w:t>5</w:t>
      </w:r>
      <w:r w:rsidR="008721E3">
        <w:rPr>
          <w:rFonts w:ascii="Verdana" w:hAnsi="Verdana"/>
          <w:sz w:val="20"/>
          <w:szCs w:val="20"/>
        </w:rPr>
        <w:t>6</w:t>
      </w:r>
      <w:r w:rsidRPr="0003263B">
        <w:rPr>
          <w:rFonts w:ascii="Verdana" w:hAnsi="Verdana"/>
          <w:sz w:val="20"/>
          <w:szCs w:val="20"/>
        </w:rPr>
        <w:t>.</w:t>
      </w:r>
    </w:p>
    <w:p w14:paraId="5AC934EA" w14:textId="77777777" w:rsidR="00D95299" w:rsidRDefault="00BC34A4" w:rsidP="00BC34A4">
      <w:pPr>
        <w:jc w:val="both"/>
        <w:rPr>
          <w:rFonts w:ascii="Verdana" w:hAnsi="Verdana"/>
          <w:sz w:val="20"/>
          <w:szCs w:val="20"/>
        </w:rPr>
      </w:pPr>
      <w:r w:rsidRPr="00BC34A4">
        <w:rPr>
          <w:rFonts w:ascii="Verdana" w:hAnsi="Verdana"/>
          <w:sz w:val="20"/>
          <w:szCs w:val="20"/>
        </w:rPr>
        <w:t>Adicionalmente la entidad debe permitir la adecuada documentación y registro de los eventos relacionados con incumplimientos por cliente, así como de las acciones efectuadas para mitigarlos.</w:t>
      </w:r>
    </w:p>
    <w:p w14:paraId="4441FB79" w14:textId="77777777" w:rsidR="00D95299" w:rsidRDefault="00D95299" w:rsidP="00D95299">
      <w:pPr>
        <w:jc w:val="both"/>
        <w:rPr>
          <w:rFonts w:ascii="Verdana" w:hAnsi="Verdana"/>
          <w:b/>
          <w:bCs/>
          <w:sz w:val="20"/>
          <w:szCs w:val="20"/>
        </w:rPr>
      </w:pPr>
    </w:p>
    <w:p w14:paraId="21C0264D" w14:textId="77777777" w:rsidR="00D95299" w:rsidRDefault="00D95299" w:rsidP="00D95299">
      <w:pPr>
        <w:jc w:val="both"/>
        <w:rPr>
          <w:rFonts w:ascii="Verdana" w:hAnsi="Verdana"/>
          <w:b/>
          <w:bCs/>
          <w:sz w:val="20"/>
          <w:szCs w:val="20"/>
        </w:rPr>
      </w:pPr>
    </w:p>
    <w:p w14:paraId="73FFDD9B" w14:textId="6B62C5DA" w:rsidR="00D95299" w:rsidRPr="0003263B" w:rsidRDefault="00AB0A40" w:rsidP="00D95299">
      <w:pPr>
        <w:jc w:val="both"/>
        <w:rPr>
          <w:rFonts w:ascii="Verdana" w:hAnsi="Verdana"/>
          <w:b/>
          <w:bCs/>
          <w:sz w:val="20"/>
          <w:szCs w:val="20"/>
        </w:rPr>
      </w:pPr>
      <w:r>
        <w:rPr>
          <w:rFonts w:ascii="Verdana" w:hAnsi="Verdana"/>
          <w:b/>
          <w:bCs/>
          <w:sz w:val="20"/>
          <w:szCs w:val="20"/>
        </w:rPr>
        <w:lastRenderedPageBreak/>
        <w:t xml:space="preserve">Supervisión </w:t>
      </w:r>
      <w:r w:rsidRPr="00AB0A40">
        <w:rPr>
          <w:rFonts w:ascii="Verdana" w:hAnsi="Verdana"/>
          <w:b/>
          <w:bCs/>
          <w:sz w:val="20"/>
          <w:szCs w:val="20"/>
        </w:rPr>
        <w:t>del organismo de autorregulación</w:t>
      </w:r>
    </w:p>
    <w:p w14:paraId="39E57307" w14:textId="45559B75" w:rsidR="00D95299" w:rsidRPr="0003263B" w:rsidRDefault="00D95299" w:rsidP="00D95299">
      <w:pPr>
        <w:spacing w:after="0"/>
        <w:jc w:val="both"/>
        <w:rPr>
          <w:rFonts w:ascii="Verdana" w:hAnsi="Verdana"/>
          <w:sz w:val="20"/>
          <w:szCs w:val="20"/>
        </w:rPr>
      </w:pPr>
      <w:r w:rsidRPr="0003263B">
        <w:rPr>
          <w:rFonts w:ascii="Verdana" w:hAnsi="Verdana"/>
          <w:sz w:val="20"/>
          <w:szCs w:val="20"/>
        </w:rPr>
        <w:t>1.1.2.2</w:t>
      </w:r>
      <w:r>
        <w:rPr>
          <w:rFonts w:ascii="Verdana" w:hAnsi="Verdana"/>
          <w:sz w:val="20"/>
          <w:szCs w:val="20"/>
        </w:rPr>
        <w:t>5</w:t>
      </w:r>
      <w:r w:rsidR="008721E3">
        <w:rPr>
          <w:rFonts w:ascii="Verdana" w:hAnsi="Verdana"/>
          <w:sz w:val="20"/>
          <w:szCs w:val="20"/>
        </w:rPr>
        <w:t>7</w:t>
      </w:r>
      <w:r w:rsidRPr="0003263B">
        <w:rPr>
          <w:rFonts w:ascii="Verdana" w:hAnsi="Verdana"/>
          <w:sz w:val="20"/>
          <w:szCs w:val="20"/>
        </w:rPr>
        <w:t>.</w:t>
      </w:r>
    </w:p>
    <w:p w14:paraId="327AA6CA" w14:textId="0D7EFF9D" w:rsidR="00D95299" w:rsidRPr="00BC34A4" w:rsidRDefault="003D22A5" w:rsidP="00D95299">
      <w:pPr>
        <w:jc w:val="both"/>
        <w:rPr>
          <w:rFonts w:ascii="Verdana" w:hAnsi="Verdana"/>
          <w:sz w:val="20"/>
          <w:szCs w:val="20"/>
        </w:rPr>
      </w:pPr>
      <w:r w:rsidRPr="003D22A5">
        <w:rPr>
          <w:rFonts w:ascii="Verdana" w:hAnsi="Verdana"/>
          <w:sz w:val="20"/>
          <w:szCs w:val="20"/>
        </w:rPr>
        <w:t>La gestión del riesgo de contraparte que adopten las SCBV y las SCBA está sujeto al monitoreo y supervisión permanente del organismo de autorregulación al cual pertenezca la respectiva entidad con el fin de evitar potenciales conductas o situaciones de incumplimiento ligadas al riesgo de contraparte, sin perjuicio de las facultades y funciones que correspondan a la SFC.</w:t>
      </w:r>
    </w:p>
    <w:p w14:paraId="2E4095FA" w14:textId="2399160E" w:rsidR="00C213FA" w:rsidRPr="00F00755" w:rsidRDefault="00C213FA" w:rsidP="00F00755">
      <w:pPr>
        <w:jc w:val="both"/>
        <w:rPr>
          <w:rFonts w:ascii="Verdana" w:hAnsi="Verdana"/>
          <w:sz w:val="20"/>
          <w:szCs w:val="20"/>
        </w:rPr>
      </w:pPr>
      <w:r>
        <w:rPr>
          <w:rFonts w:ascii="Verdana" w:hAnsi="Verdana"/>
          <w:b/>
          <w:bCs/>
          <w:sz w:val="20"/>
          <w:szCs w:val="20"/>
        </w:rPr>
        <w:br w:type="page"/>
      </w:r>
    </w:p>
    <w:p w14:paraId="7FC78C25" w14:textId="40FE9704" w:rsidR="00EA4ECE" w:rsidRDefault="00EA4ECE" w:rsidP="00EA4ECE">
      <w:pPr>
        <w:spacing w:after="0"/>
        <w:jc w:val="both"/>
        <w:rPr>
          <w:rFonts w:ascii="Verdana" w:hAnsi="Verdana"/>
          <w:b/>
          <w:bCs/>
          <w:sz w:val="20"/>
          <w:szCs w:val="20"/>
        </w:rPr>
      </w:pPr>
      <w:r>
        <w:rPr>
          <w:rFonts w:ascii="Verdana" w:hAnsi="Verdana"/>
          <w:b/>
          <w:bCs/>
          <w:sz w:val="20"/>
          <w:szCs w:val="20"/>
        </w:rPr>
        <w:lastRenderedPageBreak/>
        <w:t xml:space="preserve">GESTIÓN DEL </w:t>
      </w:r>
      <w:r w:rsidRPr="00A810C8">
        <w:rPr>
          <w:rFonts w:ascii="Verdana" w:hAnsi="Verdana"/>
          <w:b/>
          <w:bCs/>
          <w:sz w:val="20"/>
          <w:szCs w:val="20"/>
        </w:rPr>
        <w:t xml:space="preserve">RIESGO DE </w:t>
      </w:r>
      <w:r w:rsidR="001C2945" w:rsidRPr="001C2945">
        <w:rPr>
          <w:rFonts w:ascii="Verdana" w:hAnsi="Verdana"/>
          <w:b/>
          <w:bCs/>
          <w:sz w:val="20"/>
          <w:szCs w:val="20"/>
        </w:rPr>
        <w:t>GARANTÍAS DEL FONDO NACIONAL DE GARANTÍAS</w:t>
      </w:r>
    </w:p>
    <w:p w14:paraId="25585EF4" w14:textId="77777777" w:rsidR="00EA4ECE" w:rsidRDefault="00EA4ECE" w:rsidP="00EA4ECE">
      <w:pPr>
        <w:spacing w:after="0"/>
        <w:jc w:val="both"/>
        <w:rPr>
          <w:rFonts w:ascii="Verdana" w:hAnsi="Verdana"/>
          <w:sz w:val="20"/>
          <w:szCs w:val="20"/>
        </w:rPr>
      </w:pPr>
    </w:p>
    <w:p w14:paraId="4A3F85B1" w14:textId="15188661" w:rsidR="00EA4ECE" w:rsidRPr="007735FE" w:rsidRDefault="00EA4ECE" w:rsidP="00EA4ECE">
      <w:pPr>
        <w:jc w:val="both"/>
        <w:rPr>
          <w:rFonts w:ascii="Verdana" w:hAnsi="Verdana"/>
          <w:b/>
          <w:bCs/>
          <w:sz w:val="20"/>
          <w:szCs w:val="20"/>
        </w:rPr>
      </w:pPr>
      <w:r>
        <w:rPr>
          <w:rFonts w:ascii="Verdana" w:hAnsi="Verdana"/>
          <w:b/>
          <w:bCs/>
          <w:sz w:val="20"/>
          <w:szCs w:val="20"/>
        </w:rPr>
        <w:t xml:space="preserve">Definición de riesgo </w:t>
      </w:r>
      <w:r w:rsidRPr="0069214A">
        <w:rPr>
          <w:rFonts w:ascii="Verdana" w:hAnsi="Verdana"/>
          <w:b/>
          <w:bCs/>
          <w:sz w:val="20"/>
          <w:szCs w:val="20"/>
        </w:rPr>
        <w:t xml:space="preserve">de </w:t>
      </w:r>
      <w:r w:rsidR="00E633EA">
        <w:rPr>
          <w:rFonts w:ascii="Verdana" w:hAnsi="Verdana"/>
          <w:b/>
          <w:bCs/>
          <w:sz w:val="20"/>
          <w:szCs w:val="20"/>
        </w:rPr>
        <w:t>garantía</w:t>
      </w:r>
    </w:p>
    <w:p w14:paraId="01F8A2FC" w14:textId="417D6152" w:rsidR="00EA4ECE" w:rsidRPr="000001A2" w:rsidRDefault="00EA4ECE" w:rsidP="00EA4ECE">
      <w:pPr>
        <w:spacing w:after="0"/>
        <w:jc w:val="both"/>
        <w:rPr>
          <w:rFonts w:ascii="Verdana" w:hAnsi="Verdana"/>
          <w:sz w:val="20"/>
          <w:szCs w:val="20"/>
        </w:rPr>
      </w:pPr>
      <w:r>
        <w:rPr>
          <w:rFonts w:ascii="Verdana" w:hAnsi="Verdana"/>
          <w:sz w:val="20"/>
          <w:szCs w:val="20"/>
        </w:rPr>
        <w:t>1.1.2.</w:t>
      </w:r>
      <w:r w:rsidR="00A42590">
        <w:rPr>
          <w:rFonts w:ascii="Verdana" w:hAnsi="Verdana"/>
          <w:sz w:val="20"/>
          <w:szCs w:val="20"/>
        </w:rPr>
        <w:t>25</w:t>
      </w:r>
      <w:r w:rsidR="008721E3">
        <w:rPr>
          <w:rFonts w:ascii="Verdana" w:hAnsi="Verdana"/>
          <w:sz w:val="20"/>
          <w:szCs w:val="20"/>
        </w:rPr>
        <w:t>8</w:t>
      </w:r>
      <w:r>
        <w:rPr>
          <w:rFonts w:ascii="Verdana" w:hAnsi="Verdana"/>
          <w:sz w:val="20"/>
          <w:szCs w:val="20"/>
        </w:rPr>
        <w:t>.</w:t>
      </w:r>
    </w:p>
    <w:p w14:paraId="3A913C31" w14:textId="6CE8EB53" w:rsidR="00EA4ECE" w:rsidRDefault="00E76F88" w:rsidP="00EA4ECE">
      <w:pPr>
        <w:jc w:val="both"/>
        <w:rPr>
          <w:rFonts w:ascii="Verdana" w:hAnsi="Verdana"/>
          <w:sz w:val="20"/>
          <w:szCs w:val="20"/>
        </w:rPr>
      </w:pPr>
      <w:r w:rsidRPr="00E76F88">
        <w:rPr>
          <w:rFonts w:ascii="Verdana" w:hAnsi="Verdana"/>
          <w:sz w:val="20"/>
          <w:szCs w:val="20"/>
        </w:rPr>
        <w:t>El riesgo de garantías: es la posibilidad de que la entidad, en virtud de las garantías que otorgue, incurra en pérdidas y se disminuya el valor de sus activos, como consecuencia del pago de las obligaciones garantizadas ante el incumplimiento de un deudor.</w:t>
      </w:r>
    </w:p>
    <w:p w14:paraId="302A86E9" w14:textId="0916C598" w:rsidR="00E633EA" w:rsidRPr="000001A2" w:rsidRDefault="00E633EA" w:rsidP="00E633EA">
      <w:pPr>
        <w:spacing w:after="0"/>
        <w:jc w:val="both"/>
        <w:rPr>
          <w:rFonts w:ascii="Verdana" w:hAnsi="Verdana"/>
          <w:sz w:val="20"/>
          <w:szCs w:val="20"/>
        </w:rPr>
      </w:pPr>
      <w:r>
        <w:rPr>
          <w:rFonts w:ascii="Verdana" w:hAnsi="Verdana"/>
          <w:sz w:val="20"/>
          <w:szCs w:val="20"/>
        </w:rPr>
        <w:t>1.1.2.25</w:t>
      </w:r>
      <w:r w:rsidR="008721E3">
        <w:rPr>
          <w:rFonts w:ascii="Verdana" w:hAnsi="Verdana"/>
          <w:sz w:val="20"/>
          <w:szCs w:val="20"/>
        </w:rPr>
        <w:t>9</w:t>
      </w:r>
      <w:r>
        <w:rPr>
          <w:rFonts w:ascii="Verdana" w:hAnsi="Verdana"/>
          <w:sz w:val="20"/>
          <w:szCs w:val="20"/>
        </w:rPr>
        <w:t>.</w:t>
      </w:r>
    </w:p>
    <w:p w14:paraId="6A865F26" w14:textId="0BD2EE5D" w:rsidR="00E633EA" w:rsidRDefault="00803501" w:rsidP="00E633EA">
      <w:pPr>
        <w:jc w:val="both"/>
        <w:rPr>
          <w:rFonts w:ascii="Verdana" w:hAnsi="Verdana"/>
          <w:sz w:val="20"/>
          <w:szCs w:val="20"/>
        </w:rPr>
      </w:pPr>
      <w:r w:rsidRPr="00803501">
        <w:rPr>
          <w:rFonts w:ascii="Verdana" w:hAnsi="Verdana"/>
          <w:sz w:val="20"/>
          <w:szCs w:val="20"/>
        </w:rPr>
        <w:t xml:space="preserve">Riesgo de insuficiencia de reservas técnicas: </w:t>
      </w:r>
      <w:r w:rsidR="0038115D">
        <w:rPr>
          <w:rFonts w:ascii="Verdana" w:hAnsi="Verdana"/>
          <w:sz w:val="20"/>
          <w:szCs w:val="20"/>
        </w:rPr>
        <w:t>c</w:t>
      </w:r>
      <w:r w:rsidRPr="00803501">
        <w:rPr>
          <w:rFonts w:ascii="Verdana" w:hAnsi="Verdana"/>
          <w:sz w:val="20"/>
          <w:szCs w:val="20"/>
        </w:rPr>
        <w:t>orresponde a la posibilidad de pérdida de la entidad como consecuencia de una subestimación en el cálculo de las reservas técnicas.</w:t>
      </w:r>
    </w:p>
    <w:p w14:paraId="2F8E9CE2" w14:textId="4CFD16CC" w:rsidR="00E633EA" w:rsidRPr="000001A2" w:rsidRDefault="00E633EA" w:rsidP="00E633EA">
      <w:pPr>
        <w:spacing w:after="0"/>
        <w:jc w:val="both"/>
        <w:rPr>
          <w:rFonts w:ascii="Verdana" w:hAnsi="Verdana"/>
          <w:sz w:val="20"/>
          <w:szCs w:val="20"/>
        </w:rPr>
      </w:pPr>
      <w:r>
        <w:rPr>
          <w:rFonts w:ascii="Verdana" w:hAnsi="Verdana"/>
          <w:sz w:val="20"/>
          <w:szCs w:val="20"/>
        </w:rPr>
        <w:t>1.1.2.2</w:t>
      </w:r>
      <w:r w:rsidR="008721E3">
        <w:rPr>
          <w:rFonts w:ascii="Verdana" w:hAnsi="Verdana"/>
          <w:sz w:val="20"/>
          <w:szCs w:val="20"/>
        </w:rPr>
        <w:t>60</w:t>
      </w:r>
      <w:r>
        <w:rPr>
          <w:rFonts w:ascii="Verdana" w:hAnsi="Verdana"/>
          <w:sz w:val="20"/>
          <w:szCs w:val="20"/>
        </w:rPr>
        <w:t>.</w:t>
      </w:r>
    </w:p>
    <w:p w14:paraId="0D2553AF" w14:textId="5815D5B2" w:rsidR="00E633EA" w:rsidRDefault="00D3172A" w:rsidP="00E633EA">
      <w:pPr>
        <w:jc w:val="both"/>
        <w:rPr>
          <w:rFonts w:ascii="Verdana" w:hAnsi="Verdana"/>
          <w:sz w:val="20"/>
          <w:szCs w:val="20"/>
        </w:rPr>
      </w:pPr>
      <w:r w:rsidRPr="00D3172A">
        <w:rPr>
          <w:rFonts w:ascii="Verdana" w:hAnsi="Verdana"/>
          <w:sz w:val="20"/>
          <w:szCs w:val="20"/>
        </w:rPr>
        <w:t xml:space="preserve">Riesgo de tarificación: </w:t>
      </w:r>
      <w:r w:rsidR="0038115D">
        <w:rPr>
          <w:rFonts w:ascii="Verdana" w:hAnsi="Verdana"/>
          <w:sz w:val="20"/>
          <w:szCs w:val="20"/>
        </w:rPr>
        <w:t>c</w:t>
      </w:r>
      <w:r w:rsidRPr="00D3172A">
        <w:rPr>
          <w:rFonts w:ascii="Verdana" w:hAnsi="Verdana"/>
          <w:sz w:val="20"/>
          <w:szCs w:val="20"/>
        </w:rPr>
        <w:t>orresponde a la probabilidad de pérdida como consecuencia de errores en el cálculo de comisiones al punto que resulten insuficientes para cubrir las reclamaciones actuales y futuras, los gastos administrativos y la rentabilidad esperada.</w:t>
      </w:r>
    </w:p>
    <w:p w14:paraId="70BF08CE" w14:textId="77777777" w:rsidR="00EA4ECE" w:rsidRPr="007735FE" w:rsidRDefault="00EA4ECE" w:rsidP="00EA4ECE">
      <w:pPr>
        <w:jc w:val="both"/>
        <w:rPr>
          <w:rFonts w:ascii="Verdana" w:hAnsi="Verdana"/>
          <w:b/>
          <w:bCs/>
          <w:sz w:val="20"/>
          <w:szCs w:val="20"/>
        </w:rPr>
      </w:pPr>
      <w:r>
        <w:rPr>
          <w:rFonts w:ascii="Verdana" w:hAnsi="Verdana"/>
          <w:b/>
          <w:bCs/>
          <w:sz w:val="20"/>
          <w:szCs w:val="20"/>
        </w:rPr>
        <w:t>Ámbito de aplicación</w:t>
      </w:r>
    </w:p>
    <w:p w14:paraId="6BC1B1FB" w14:textId="0640CC3E" w:rsidR="00EA4ECE" w:rsidRPr="000001A2" w:rsidRDefault="00EA4ECE" w:rsidP="00EA4ECE">
      <w:pPr>
        <w:spacing w:after="0"/>
        <w:jc w:val="both"/>
        <w:rPr>
          <w:rFonts w:ascii="Verdana" w:hAnsi="Verdana"/>
          <w:sz w:val="20"/>
          <w:szCs w:val="20"/>
        </w:rPr>
      </w:pPr>
      <w:r>
        <w:rPr>
          <w:rFonts w:ascii="Verdana" w:hAnsi="Verdana"/>
          <w:sz w:val="20"/>
          <w:szCs w:val="20"/>
        </w:rPr>
        <w:t>1.1.2.</w:t>
      </w:r>
      <w:r w:rsidR="00BA2DC6">
        <w:rPr>
          <w:rFonts w:ascii="Verdana" w:hAnsi="Verdana"/>
          <w:sz w:val="20"/>
          <w:szCs w:val="20"/>
        </w:rPr>
        <w:t>2</w:t>
      </w:r>
      <w:r w:rsidR="008721E3">
        <w:rPr>
          <w:rFonts w:ascii="Verdana" w:hAnsi="Verdana"/>
          <w:sz w:val="20"/>
          <w:szCs w:val="20"/>
        </w:rPr>
        <w:t>61</w:t>
      </w:r>
      <w:r>
        <w:rPr>
          <w:rFonts w:ascii="Verdana" w:hAnsi="Verdana"/>
          <w:sz w:val="20"/>
          <w:szCs w:val="20"/>
        </w:rPr>
        <w:t>.</w:t>
      </w:r>
    </w:p>
    <w:p w14:paraId="00D5E0CD" w14:textId="0092A9EC" w:rsidR="00EA4ECE" w:rsidRPr="000209E8" w:rsidRDefault="00823EB5" w:rsidP="00EA4ECE">
      <w:pPr>
        <w:jc w:val="both"/>
        <w:rPr>
          <w:rFonts w:ascii="Verdana" w:hAnsi="Verdana"/>
          <w:sz w:val="20"/>
          <w:szCs w:val="20"/>
        </w:rPr>
      </w:pPr>
      <w:r w:rsidRPr="00823EB5">
        <w:rPr>
          <w:rFonts w:ascii="Verdana" w:hAnsi="Verdana"/>
          <w:sz w:val="20"/>
          <w:szCs w:val="20"/>
        </w:rPr>
        <w:t>El FNG debe dar cumplimiento a las instrucciones señaladas en el presente numeral.</w:t>
      </w:r>
    </w:p>
    <w:p w14:paraId="3A4B97C6" w14:textId="77777777" w:rsidR="00EA4ECE" w:rsidRPr="007735FE" w:rsidRDefault="00EA4ECE" w:rsidP="00EA4ECE">
      <w:pPr>
        <w:jc w:val="both"/>
        <w:rPr>
          <w:rFonts w:ascii="Verdana" w:hAnsi="Verdana"/>
          <w:b/>
          <w:bCs/>
          <w:sz w:val="20"/>
          <w:szCs w:val="20"/>
        </w:rPr>
      </w:pPr>
      <w:r>
        <w:rPr>
          <w:rFonts w:ascii="Verdana" w:hAnsi="Verdana"/>
          <w:b/>
          <w:bCs/>
          <w:sz w:val="20"/>
          <w:szCs w:val="20"/>
        </w:rPr>
        <w:t>Componentes</w:t>
      </w:r>
    </w:p>
    <w:p w14:paraId="010A4D84" w14:textId="2C2B61CA" w:rsidR="00EA4ECE" w:rsidRPr="000001A2" w:rsidRDefault="00EA4ECE" w:rsidP="00EA4ECE">
      <w:pPr>
        <w:spacing w:after="0"/>
        <w:jc w:val="both"/>
        <w:rPr>
          <w:rFonts w:ascii="Verdana" w:hAnsi="Verdana"/>
          <w:sz w:val="20"/>
          <w:szCs w:val="20"/>
        </w:rPr>
      </w:pPr>
      <w:r>
        <w:rPr>
          <w:rFonts w:ascii="Verdana" w:hAnsi="Verdana"/>
          <w:sz w:val="20"/>
          <w:szCs w:val="20"/>
        </w:rPr>
        <w:t>1.1.2.</w:t>
      </w:r>
      <w:r w:rsidR="00391BEC">
        <w:rPr>
          <w:rFonts w:ascii="Verdana" w:hAnsi="Verdana"/>
          <w:sz w:val="20"/>
          <w:szCs w:val="20"/>
        </w:rPr>
        <w:t>26</w:t>
      </w:r>
      <w:r w:rsidR="008721E3">
        <w:rPr>
          <w:rFonts w:ascii="Verdana" w:hAnsi="Verdana"/>
          <w:sz w:val="20"/>
          <w:szCs w:val="20"/>
        </w:rPr>
        <w:t>2</w:t>
      </w:r>
      <w:r>
        <w:rPr>
          <w:rFonts w:ascii="Verdana" w:hAnsi="Verdana"/>
          <w:sz w:val="20"/>
          <w:szCs w:val="20"/>
        </w:rPr>
        <w:t>.</w:t>
      </w:r>
    </w:p>
    <w:p w14:paraId="034C787B" w14:textId="54E3E770" w:rsidR="00EA4ECE" w:rsidRDefault="004B1C52" w:rsidP="00EA4ECE">
      <w:pPr>
        <w:jc w:val="both"/>
        <w:rPr>
          <w:rFonts w:ascii="Verdana" w:hAnsi="Verdana"/>
          <w:sz w:val="20"/>
          <w:szCs w:val="20"/>
        </w:rPr>
      </w:pPr>
      <w:r w:rsidRPr="004B1C52">
        <w:rPr>
          <w:rFonts w:ascii="Verdana" w:hAnsi="Verdana"/>
          <w:sz w:val="20"/>
          <w:szCs w:val="20"/>
        </w:rPr>
        <w:t>La entidad debe contar con una adecuada gestión del riesgo de garantía</w:t>
      </w:r>
      <w:r w:rsidR="008935A8">
        <w:rPr>
          <w:rFonts w:ascii="Verdana" w:hAnsi="Verdana"/>
          <w:sz w:val="20"/>
          <w:szCs w:val="20"/>
        </w:rPr>
        <w:t>s</w:t>
      </w:r>
      <w:r w:rsidRPr="004B1C52">
        <w:rPr>
          <w:rFonts w:ascii="Verdana" w:hAnsi="Verdana"/>
          <w:sz w:val="20"/>
          <w:szCs w:val="20"/>
        </w:rPr>
        <w:t xml:space="preserve"> que le permita una visión integral de este riesgo en el desarrollo de su negocio, para lo cual debe</w:t>
      </w:r>
      <w:r w:rsidR="004862C1">
        <w:rPr>
          <w:rFonts w:ascii="Verdana" w:hAnsi="Verdana"/>
          <w:sz w:val="20"/>
          <w:szCs w:val="20"/>
        </w:rPr>
        <w:t xml:space="preserve"> establecer</w:t>
      </w:r>
      <w:r w:rsidRPr="004B1C52">
        <w:rPr>
          <w:rFonts w:ascii="Verdana" w:hAnsi="Verdana"/>
          <w:sz w:val="20"/>
          <w:szCs w:val="20"/>
        </w:rPr>
        <w:t xml:space="preserve"> las políticas, procedimientos, umbrales, límites y metodologías para su instrumentación. La entidad debe evaluar permanentemente el riesgo tanto en el momento de otorgar las garantías como a lo largo de la vigencia de </w:t>
      </w:r>
      <w:proofErr w:type="gramStart"/>
      <w:r w:rsidRPr="004B1C52">
        <w:rPr>
          <w:rFonts w:ascii="Verdana" w:hAnsi="Verdana"/>
          <w:sz w:val="20"/>
          <w:szCs w:val="20"/>
        </w:rPr>
        <w:t>las mismas</w:t>
      </w:r>
      <w:proofErr w:type="gramEnd"/>
      <w:r w:rsidRPr="004B1C52">
        <w:rPr>
          <w:rFonts w:ascii="Verdana" w:hAnsi="Verdana"/>
          <w:sz w:val="20"/>
          <w:szCs w:val="20"/>
        </w:rPr>
        <w:t>.</w:t>
      </w:r>
    </w:p>
    <w:p w14:paraId="433B87ED" w14:textId="731FD2B9" w:rsidR="00391BEC" w:rsidRPr="000001A2" w:rsidRDefault="00391BEC" w:rsidP="00391BEC">
      <w:pPr>
        <w:spacing w:after="0"/>
        <w:jc w:val="both"/>
        <w:rPr>
          <w:rFonts w:ascii="Verdana" w:hAnsi="Verdana"/>
          <w:sz w:val="20"/>
          <w:szCs w:val="20"/>
        </w:rPr>
      </w:pPr>
      <w:r>
        <w:rPr>
          <w:rFonts w:ascii="Verdana" w:hAnsi="Verdana"/>
          <w:sz w:val="20"/>
          <w:szCs w:val="20"/>
        </w:rPr>
        <w:t>1.1.2.26</w:t>
      </w:r>
      <w:r w:rsidR="008721E3">
        <w:rPr>
          <w:rFonts w:ascii="Verdana" w:hAnsi="Verdana"/>
          <w:sz w:val="20"/>
          <w:szCs w:val="20"/>
        </w:rPr>
        <w:t>3</w:t>
      </w:r>
      <w:r>
        <w:rPr>
          <w:rFonts w:ascii="Verdana" w:hAnsi="Verdana"/>
          <w:sz w:val="20"/>
          <w:szCs w:val="20"/>
        </w:rPr>
        <w:t>.</w:t>
      </w:r>
    </w:p>
    <w:p w14:paraId="5DDA572D" w14:textId="3BAC1462" w:rsidR="00391BEC" w:rsidRDefault="004336BB" w:rsidP="00391BEC">
      <w:pPr>
        <w:jc w:val="both"/>
        <w:rPr>
          <w:rFonts w:ascii="Verdana" w:hAnsi="Verdana"/>
          <w:sz w:val="20"/>
          <w:szCs w:val="20"/>
        </w:rPr>
      </w:pPr>
      <w:r w:rsidRPr="004336BB">
        <w:rPr>
          <w:rFonts w:ascii="Verdana" w:hAnsi="Verdana"/>
          <w:sz w:val="20"/>
          <w:szCs w:val="20"/>
        </w:rPr>
        <w:t xml:space="preserve">La gestión de este riesgo debe ser acorde con el perfil y marco de apetito de riesgo, el plan de negocio, la naturaleza, el tamaño y la complejidad y diversidad de las actividades que desarrolle la entidad, así como con su importancia por tamaño e interconectividad en el sistema financiero y los entornos económicos y de los mercados en donde </w:t>
      </w:r>
      <w:r w:rsidR="00AA4BB9">
        <w:rPr>
          <w:rFonts w:ascii="Verdana" w:hAnsi="Verdana"/>
          <w:sz w:val="20"/>
          <w:szCs w:val="20"/>
        </w:rPr>
        <w:t>la entidad</w:t>
      </w:r>
      <w:r w:rsidRPr="004336BB">
        <w:rPr>
          <w:rFonts w:ascii="Verdana" w:hAnsi="Verdana"/>
          <w:sz w:val="20"/>
          <w:szCs w:val="20"/>
        </w:rPr>
        <w:t xml:space="preserve"> opera.</w:t>
      </w:r>
    </w:p>
    <w:p w14:paraId="27B6AAA7" w14:textId="77777777" w:rsidR="00EA4ECE" w:rsidRPr="007735FE" w:rsidRDefault="00EA4ECE" w:rsidP="00EA4ECE">
      <w:pPr>
        <w:jc w:val="both"/>
        <w:rPr>
          <w:rFonts w:ascii="Verdana" w:hAnsi="Verdana"/>
          <w:b/>
          <w:bCs/>
          <w:sz w:val="20"/>
          <w:szCs w:val="20"/>
        </w:rPr>
      </w:pPr>
      <w:r>
        <w:rPr>
          <w:rFonts w:ascii="Verdana" w:hAnsi="Verdana"/>
          <w:b/>
          <w:bCs/>
          <w:sz w:val="20"/>
          <w:szCs w:val="20"/>
        </w:rPr>
        <w:t>Etapas</w:t>
      </w:r>
    </w:p>
    <w:p w14:paraId="25BD8ED7" w14:textId="0E1863B2" w:rsidR="00EA4ECE" w:rsidRPr="00443A04" w:rsidRDefault="00EA4ECE" w:rsidP="00EA4ECE">
      <w:pPr>
        <w:spacing w:after="0"/>
        <w:jc w:val="both"/>
        <w:rPr>
          <w:rFonts w:ascii="Verdana" w:hAnsi="Verdana"/>
          <w:sz w:val="20"/>
          <w:szCs w:val="20"/>
        </w:rPr>
      </w:pPr>
      <w:r>
        <w:rPr>
          <w:rFonts w:ascii="Verdana" w:hAnsi="Verdana"/>
          <w:sz w:val="20"/>
          <w:szCs w:val="20"/>
        </w:rPr>
        <w:t>1.1.2.2</w:t>
      </w:r>
      <w:r w:rsidR="00004022">
        <w:rPr>
          <w:rFonts w:ascii="Verdana" w:hAnsi="Verdana"/>
          <w:sz w:val="20"/>
          <w:szCs w:val="20"/>
        </w:rPr>
        <w:t>6</w:t>
      </w:r>
      <w:r w:rsidR="00BF69E2">
        <w:rPr>
          <w:rFonts w:ascii="Verdana" w:hAnsi="Verdana"/>
          <w:sz w:val="20"/>
          <w:szCs w:val="20"/>
        </w:rPr>
        <w:t>4</w:t>
      </w:r>
      <w:r>
        <w:rPr>
          <w:rFonts w:ascii="Verdana" w:hAnsi="Verdana"/>
          <w:sz w:val="20"/>
          <w:szCs w:val="20"/>
        </w:rPr>
        <w:t>.</w:t>
      </w:r>
    </w:p>
    <w:p w14:paraId="741D81D7" w14:textId="0A3164A0" w:rsidR="00EA4ECE" w:rsidRPr="00443A04" w:rsidRDefault="00004022" w:rsidP="00EA4ECE">
      <w:pPr>
        <w:jc w:val="both"/>
        <w:rPr>
          <w:rFonts w:ascii="Verdana" w:hAnsi="Verdana"/>
          <w:sz w:val="20"/>
          <w:szCs w:val="20"/>
        </w:rPr>
      </w:pPr>
      <w:r w:rsidRPr="00004022">
        <w:rPr>
          <w:rFonts w:ascii="Verdana" w:hAnsi="Verdana"/>
          <w:sz w:val="20"/>
          <w:szCs w:val="20"/>
        </w:rPr>
        <w:t>Para la administración del riesgo de garantía</w:t>
      </w:r>
      <w:r w:rsidR="004862C1">
        <w:rPr>
          <w:rFonts w:ascii="Verdana" w:hAnsi="Verdana"/>
          <w:sz w:val="20"/>
          <w:szCs w:val="20"/>
        </w:rPr>
        <w:t>s</w:t>
      </w:r>
      <w:r w:rsidRPr="00004022">
        <w:rPr>
          <w:rFonts w:ascii="Verdana" w:hAnsi="Verdana"/>
          <w:sz w:val="20"/>
          <w:szCs w:val="20"/>
        </w:rPr>
        <w:t>, la entidad debe desarrollar las siguientes etapas</w:t>
      </w:r>
      <w:r w:rsidR="00C32695">
        <w:rPr>
          <w:rFonts w:ascii="Verdana" w:hAnsi="Verdana"/>
          <w:sz w:val="20"/>
          <w:szCs w:val="20"/>
        </w:rPr>
        <w:t>.</w:t>
      </w:r>
    </w:p>
    <w:p w14:paraId="2B0B125A" w14:textId="77777777" w:rsidR="00EA4ECE" w:rsidRPr="00732E97" w:rsidRDefault="00EA4ECE" w:rsidP="00EA4ECE">
      <w:pPr>
        <w:pStyle w:val="Prrafodelista"/>
        <w:numPr>
          <w:ilvl w:val="0"/>
          <w:numId w:val="2"/>
        </w:numPr>
        <w:ind w:left="284" w:hanging="284"/>
        <w:jc w:val="both"/>
        <w:rPr>
          <w:rFonts w:ascii="Verdana" w:hAnsi="Verdana"/>
          <w:b/>
          <w:bCs/>
          <w:sz w:val="20"/>
          <w:szCs w:val="20"/>
        </w:rPr>
      </w:pPr>
      <w:r>
        <w:rPr>
          <w:rFonts w:ascii="Verdana" w:hAnsi="Verdana"/>
          <w:b/>
          <w:bCs/>
          <w:sz w:val="20"/>
          <w:szCs w:val="20"/>
        </w:rPr>
        <w:t>Identificación</w:t>
      </w:r>
    </w:p>
    <w:p w14:paraId="62CBBE84" w14:textId="2351B327" w:rsidR="00EA4ECE" w:rsidRPr="0086035E" w:rsidRDefault="00EA4ECE" w:rsidP="00EA4EC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8E369B">
        <w:rPr>
          <w:rFonts w:ascii="Verdana" w:hAnsi="Verdana"/>
          <w:sz w:val="20"/>
          <w:szCs w:val="20"/>
        </w:rPr>
        <w:t>26</w:t>
      </w:r>
      <w:r w:rsidR="008721E3">
        <w:rPr>
          <w:rFonts w:ascii="Verdana" w:hAnsi="Verdana"/>
          <w:sz w:val="20"/>
          <w:szCs w:val="20"/>
        </w:rPr>
        <w:t>5</w:t>
      </w:r>
      <w:r w:rsidRPr="0086035E">
        <w:rPr>
          <w:rFonts w:ascii="Verdana" w:hAnsi="Verdana"/>
          <w:sz w:val="20"/>
          <w:szCs w:val="20"/>
        </w:rPr>
        <w:t>.</w:t>
      </w:r>
    </w:p>
    <w:p w14:paraId="3D58B428" w14:textId="0C36A924" w:rsidR="00EA4ECE" w:rsidRDefault="008E369B" w:rsidP="00EA4ECE">
      <w:pPr>
        <w:jc w:val="both"/>
        <w:rPr>
          <w:rFonts w:ascii="Verdana" w:hAnsi="Verdana"/>
          <w:sz w:val="20"/>
          <w:szCs w:val="20"/>
        </w:rPr>
      </w:pPr>
      <w:r w:rsidRPr="008E369B">
        <w:rPr>
          <w:rFonts w:ascii="Verdana" w:hAnsi="Verdana"/>
          <w:sz w:val="20"/>
          <w:szCs w:val="20"/>
        </w:rPr>
        <w:t>La entidad debe identificar el riesgo de garantía</w:t>
      </w:r>
      <w:r w:rsidR="004862C1">
        <w:rPr>
          <w:rFonts w:ascii="Verdana" w:hAnsi="Verdana"/>
          <w:sz w:val="20"/>
          <w:szCs w:val="20"/>
        </w:rPr>
        <w:t>s</w:t>
      </w:r>
      <w:r w:rsidRPr="008E369B">
        <w:rPr>
          <w:rFonts w:ascii="Verdana" w:hAnsi="Verdana"/>
          <w:sz w:val="20"/>
          <w:szCs w:val="20"/>
        </w:rPr>
        <w:t xml:space="preserve"> para lo cual debe contar con un procedimiento de otorgamiento de garantías. Para lo anterior, la entidad debe como mínimo contar con políticas, procedimientos, metodologías y límites que le permitan:</w:t>
      </w:r>
    </w:p>
    <w:p w14:paraId="5FE8C659" w14:textId="77777777" w:rsidR="000821C2" w:rsidRDefault="000821C2" w:rsidP="000821C2">
      <w:pPr>
        <w:pStyle w:val="Prrafodelista"/>
        <w:numPr>
          <w:ilvl w:val="0"/>
          <w:numId w:val="81"/>
        </w:numPr>
        <w:ind w:left="567" w:hanging="567"/>
        <w:jc w:val="both"/>
        <w:rPr>
          <w:rFonts w:ascii="Verdana" w:hAnsi="Verdana"/>
          <w:sz w:val="20"/>
          <w:szCs w:val="20"/>
        </w:rPr>
      </w:pPr>
      <w:r w:rsidRPr="000821C2">
        <w:rPr>
          <w:rFonts w:ascii="Verdana" w:hAnsi="Verdana"/>
          <w:sz w:val="20"/>
          <w:szCs w:val="20"/>
        </w:rPr>
        <w:t>Precisar las características básicas de los deudores e intermediarios y los niveles de tolerancia frente al riesgo, discriminar entre sus potenciales clientes para determinar si son sujetos de garantía y definir los niveles de adjudicación para cada uno de ellos.</w:t>
      </w:r>
    </w:p>
    <w:p w14:paraId="3A20DEB7" w14:textId="77777777" w:rsidR="000821C2" w:rsidRDefault="000821C2" w:rsidP="000821C2">
      <w:pPr>
        <w:pStyle w:val="Prrafodelista"/>
        <w:ind w:left="567"/>
        <w:jc w:val="both"/>
        <w:rPr>
          <w:rFonts w:ascii="Verdana" w:hAnsi="Verdana"/>
          <w:sz w:val="20"/>
          <w:szCs w:val="20"/>
        </w:rPr>
      </w:pPr>
    </w:p>
    <w:p w14:paraId="3317943B" w14:textId="000E27FE" w:rsidR="008E369B" w:rsidRPr="000821C2" w:rsidRDefault="000821C2" w:rsidP="000821C2">
      <w:pPr>
        <w:pStyle w:val="Prrafodelista"/>
        <w:numPr>
          <w:ilvl w:val="0"/>
          <w:numId w:val="81"/>
        </w:numPr>
        <w:ind w:left="567" w:hanging="567"/>
        <w:jc w:val="both"/>
        <w:rPr>
          <w:rFonts w:ascii="Verdana" w:hAnsi="Verdana"/>
          <w:sz w:val="20"/>
          <w:szCs w:val="20"/>
        </w:rPr>
      </w:pPr>
      <w:r w:rsidRPr="000821C2">
        <w:rPr>
          <w:rFonts w:ascii="Verdana" w:hAnsi="Verdana"/>
          <w:sz w:val="20"/>
          <w:szCs w:val="20"/>
        </w:rPr>
        <w:t>Realizar el cobro de las comisiones. Para lo anterior se deben definir las condiciones para su pago, considerando que en el evento en que se contemplen mecanismos para su financiación el plazo no sea superior al período de vigencia de la garantía otorgada. El origen de los recursos con los cuales se financien las comisiones no debe provenir de las reservas técnicas.</w:t>
      </w:r>
    </w:p>
    <w:p w14:paraId="3BD8026C" w14:textId="4C77229A" w:rsidR="000821C2" w:rsidRPr="000821C2" w:rsidRDefault="000821C2" w:rsidP="000821C2">
      <w:pPr>
        <w:spacing w:after="0"/>
        <w:jc w:val="both"/>
        <w:rPr>
          <w:rFonts w:ascii="Verdana" w:hAnsi="Verdana"/>
          <w:sz w:val="20"/>
          <w:szCs w:val="20"/>
        </w:rPr>
      </w:pPr>
      <w:r w:rsidRPr="000821C2">
        <w:rPr>
          <w:rFonts w:ascii="Verdana" w:hAnsi="Verdana"/>
          <w:sz w:val="20"/>
          <w:szCs w:val="20"/>
        </w:rPr>
        <w:t>1.1.2.26</w:t>
      </w:r>
      <w:r w:rsidR="008721E3">
        <w:rPr>
          <w:rFonts w:ascii="Verdana" w:hAnsi="Verdana"/>
          <w:sz w:val="20"/>
          <w:szCs w:val="20"/>
        </w:rPr>
        <w:t>6</w:t>
      </w:r>
      <w:r w:rsidRPr="000821C2">
        <w:rPr>
          <w:rFonts w:ascii="Verdana" w:hAnsi="Verdana"/>
          <w:sz w:val="20"/>
          <w:szCs w:val="20"/>
        </w:rPr>
        <w:t>.</w:t>
      </w:r>
    </w:p>
    <w:p w14:paraId="188AB832" w14:textId="192AA081" w:rsidR="008E369B" w:rsidRDefault="00B66395" w:rsidP="000821C2">
      <w:pPr>
        <w:jc w:val="both"/>
        <w:rPr>
          <w:rFonts w:ascii="Verdana" w:hAnsi="Verdana"/>
          <w:sz w:val="20"/>
          <w:szCs w:val="20"/>
        </w:rPr>
      </w:pPr>
      <w:r w:rsidRPr="00B66395">
        <w:rPr>
          <w:rFonts w:ascii="Verdana" w:hAnsi="Verdana"/>
          <w:sz w:val="20"/>
          <w:szCs w:val="20"/>
        </w:rPr>
        <w:t xml:space="preserve">Para que el valor de las comisiones a financiar se pueda entender como recaudado para todos los efectos, la obligación debe ser incorporada en pagarés o cualquier otro título valor de contenido crediticio emitido por el tomador a la orden del FNG, y los valores financiados se deben sujetar a lo señalado en las instrucciones sobre evaluación de riesgo crediticio consagradas </w:t>
      </w:r>
      <w:r w:rsidR="00651778">
        <w:rPr>
          <w:rFonts w:ascii="Verdana" w:hAnsi="Verdana"/>
          <w:sz w:val="20"/>
          <w:szCs w:val="20"/>
        </w:rPr>
        <w:t>en las secciones 2 y 3</w:t>
      </w:r>
      <w:r w:rsidRPr="00B66395">
        <w:rPr>
          <w:rFonts w:ascii="Verdana" w:hAnsi="Verdana"/>
          <w:sz w:val="20"/>
          <w:szCs w:val="20"/>
        </w:rPr>
        <w:t xml:space="preserve"> del presente </w:t>
      </w:r>
      <w:r w:rsidR="00651778">
        <w:rPr>
          <w:rFonts w:ascii="Verdana" w:hAnsi="Verdana"/>
          <w:sz w:val="20"/>
          <w:szCs w:val="20"/>
        </w:rPr>
        <w:t>c</w:t>
      </w:r>
      <w:r w:rsidRPr="00B66395">
        <w:rPr>
          <w:rFonts w:ascii="Verdana" w:hAnsi="Verdana"/>
          <w:sz w:val="20"/>
          <w:szCs w:val="20"/>
        </w:rPr>
        <w:t>apítulo.</w:t>
      </w:r>
    </w:p>
    <w:p w14:paraId="5E2EB1E4" w14:textId="292C0EA2" w:rsidR="008B32B5" w:rsidRPr="000821C2" w:rsidRDefault="008B32B5" w:rsidP="008B32B5">
      <w:pPr>
        <w:spacing w:after="0"/>
        <w:jc w:val="both"/>
        <w:rPr>
          <w:rFonts w:ascii="Verdana" w:hAnsi="Verdana"/>
          <w:sz w:val="20"/>
          <w:szCs w:val="20"/>
        </w:rPr>
      </w:pPr>
      <w:r w:rsidRPr="000821C2">
        <w:rPr>
          <w:rFonts w:ascii="Verdana" w:hAnsi="Verdana"/>
          <w:sz w:val="20"/>
          <w:szCs w:val="20"/>
        </w:rPr>
        <w:lastRenderedPageBreak/>
        <w:t>1.1.2.26</w:t>
      </w:r>
      <w:r w:rsidR="008721E3">
        <w:rPr>
          <w:rFonts w:ascii="Verdana" w:hAnsi="Verdana"/>
          <w:sz w:val="20"/>
          <w:szCs w:val="20"/>
        </w:rPr>
        <w:t>7</w:t>
      </w:r>
      <w:r w:rsidRPr="000821C2">
        <w:rPr>
          <w:rFonts w:ascii="Verdana" w:hAnsi="Verdana"/>
          <w:sz w:val="20"/>
          <w:szCs w:val="20"/>
        </w:rPr>
        <w:t>.</w:t>
      </w:r>
    </w:p>
    <w:p w14:paraId="076238EE" w14:textId="18FD3AAE" w:rsidR="008B32B5" w:rsidRDefault="00B91DFC" w:rsidP="008B32B5">
      <w:pPr>
        <w:jc w:val="both"/>
        <w:rPr>
          <w:rFonts w:ascii="Verdana" w:hAnsi="Verdana"/>
          <w:sz w:val="20"/>
          <w:szCs w:val="20"/>
        </w:rPr>
      </w:pPr>
      <w:r w:rsidRPr="00B91DFC">
        <w:rPr>
          <w:rFonts w:ascii="Verdana" w:hAnsi="Verdana"/>
          <w:sz w:val="20"/>
          <w:szCs w:val="20"/>
        </w:rPr>
        <w:t xml:space="preserve">El otorgamiento de garantías debe </w:t>
      </w:r>
      <w:r w:rsidR="00596262">
        <w:rPr>
          <w:rFonts w:ascii="Verdana" w:hAnsi="Verdana"/>
          <w:sz w:val="20"/>
          <w:szCs w:val="20"/>
        </w:rPr>
        <w:t>considerar</w:t>
      </w:r>
      <w:r>
        <w:rPr>
          <w:rFonts w:ascii="Verdana" w:hAnsi="Verdana"/>
          <w:sz w:val="20"/>
          <w:szCs w:val="20"/>
        </w:rPr>
        <w:t>:</w:t>
      </w:r>
    </w:p>
    <w:p w14:paraId="53A9073A" w14:textId="77777777" w:rsidR="004C659D" w:rsidRDefault="004C659D" w:rsidP="004C659D">
      <w:pPr>
        <w:pStyle w:val="Prrafodelista"/>
        <w:numPr>
          <w:ilvl w:val="0"/>
          <w:numId w:val="82"/>
        </w:numPr>
        <w:ind w:left="567" w:hanging="567"/>
        <w:jc w:val="both"/>
        <w:rPr>
          <w:rFonts w:ascii="Verdana" w:hAnsi="Verdana"/>
          <w:sz w:val="20"/>
          <w:szCs w:val="20"/>
        </w:rPr>
      </w:pPr>
      <w:r w:rsidRPr="004C659D">
        <w:rPr>
          <w:rFonts w:ascii="Verdana" w:hAnsi="Verdana"/>
          <w:sz w:val="20"/>
          <w:szCs w:val="20"/>
        </w:rPr>
        <w:t>El conocimiento de los intermediarios, de las carteras garantizadas, y de las condiciones de los créditos a garantizar, así como de la estructuración de las garantías que se ofrecen, entre otros factores.</w:t>
      </w:r>
    </w:p>
    <w:p w14:paraId="57D07846" w14:textId="77777777" w:rsidR="004C659D" w:rsidRDefault="004C659D" w:rsidP="004C659D">
      <w:pPr>
        <w:pStyle w:val="Prrafodelista"/>
        <w:ind w:left="567"/>
        <w:jc w:val="both"/>
        <w:rPr>
          <w:rFonts w:ascii="Verdana" w:hAnsi="Verdana"/>
          <w:sz w:val="20"/>
          <w:szCs w:val="20"/>
        </w:rPr>
      </w:pPr>
    </w:p>
    <w:p w14:paraId="254B114D" w14:textId="168718D6" w:rsidR="004C659D" w:rsidRPr="004C659D" w:rsidRDefault="004C659D" w:rsidP="004C659D">
      <w:pPr>
        <w:pStyle w:val="Prrafodelista"/>
        <w:numPr>
          <w:ilvl w:val="0"/>
          <w:numId w:val="82"/>
        </w:numPr>
        <w:ind w:left="567" w:hanging="567"/>
        <w:jc w:val="both"/>
        <w:rPr>
          <w:rFonts w:ascii="Verdana" w:hAnsi="Verdana"/>
          <w:sz w:val="20"/>
          <w:szCs w:val="20"/>
        </w:rPr>
      </w:pPr>
      <w:r w:rsidRPr="004C659D">
        <w:rPr>
          <w:rFonts w:ascii="Verdana" w:hAnsi="Verdana"/>
          <w:sz w:val="20"/>
          <w:szCs w:val="20"/>
        </w:rPr>
        <w:t>El conocimiento del comportamiento de la siniestralidad de los intermediarios, de las características de los créditos garantizados y su comportamiento. La selección de las variables de discriminación y la importancia relativa que se dé a cada una de ellas debe ser un elemento determinante tanto en el otorgamiento como en el seguimiento de las garantías de cada portafolio o línea. En tal sentido, la metodología implementada debe considerar la combinación de criterios cuantitativos y cualitativos, objetivos y subjetivos, de acuerdo con la experiencia y las políticas estratégicas del Fondo. Esta metodología debe ser evaluada como mínima una vez al año, con el fin de verificar su idoneidad, al igual que la relevancia de las variables.</w:t>
      </w:r>
    </w:p>
    <w:p w14:paraId="64EDDCAE" w14:textId="415D4F01" w:rsidR="00E664C4" w:rsidRPr="00E664C4" w:rsidRDefault="00E664C4" w:rsidP="00E664C4">
      <w:pPr>
        <w:spacing w:after="0"/>
        <w:jc w:val="both"/>
        <w:rPr>
          <w:rFonts w:ascii="Verdana" w:hAnsi="Verdana"/>
          <w:sz w:val="20"/>
          <w:szCs w:val="20"/>
        </w:rPr>
      </w:pPr>
      <w:r w:rsidRPr="00E664C4">
        <w:rPr>
          <w:rFonts w:ascii="Verdana" w:hAnsi="Verdana"/>
          <w:sz w:val="20"/>
          <w:szCs w:val="20"/>
        </w:rPr>
        <w:t>1.1.2.26</w:t>
      </w:r>
      <w:r w:rsidR="008721E3">
        <w:rPr>
          <w:rFonts w:ascii="Verdana" w:hAnsi="Verdana"/>
          <w:sz w:val="20"/>
          <w:szCs w:val="20"/>
        </w:rPr>
        <w:t>8</w:t>
      </w:r>
      <w:r w:rsidRPr="00E664C4">
        <w:rPr>
          <w:rFonts w:ascii="Verdana" w:hAnsi="Verdana"/>
          <w:sz w:val="20"/>
          <w:szCs w:val="20"/>
        </w:rPr>
        <w:t>.</w:t>
      </w:r>
    </w:p>
    <w:p w14:paraId="1437E7D0" w14:textId="7E8D2520" w:rsidR="00E664C4" w:rsidRPr="00E664C4" w:rsidRDefault="008F4696" w:rsidP="00E664C4">
      <w:pPr>
        <w:jc w:val="both"/>
        <w:rPr>
          <w:rFonts w:ascii="Verdana" w:hAnsi="Verdana"/>
          <w:sz w:val="20"/>
          <w:szCs w:val="20"/>
        </w:rPr>
      </w:pPr>
      <w:r w:rsidRPr="008F4696">
        <w:rPr>
          <w:rFonts w:ascii="Verdana" w:hAnsi="Verdana"/>
          <w:sz w:val="20"/>
          <w:szCs w:val="20"/>
        </w:rPr>
        <w:t>No obstante lo anterior, en la medida en que las coberturas otorgadas por el FNG sean relevantes (por ejemplo que su cobertura sea sobre un porcentaje importante en relación con la obligación garantizada o sobre la pérdida esperada) se deben establecer procedimientos de conocimiento y calificación de la gestión del riesgo crediticio de los intermediarios, con especial énfasis en los procesos que involucren el análisis de los deudores garantizados y su capacidad de pago, o bien establecer mecanismos para evaluar la capacidad de pago de los deudores en forma directa, que coadyuven a definir políticas de otorgamiento de garantías con fundamento en la gestión del riesgo de crédito por parte de los intermediarios.</w:t>
      </w:r>
      <w:r w:rsidR="00E664C4" w:rsidRPr="00E664C4">
        <w:rPr>
          <w:rFonts w:ascii="Verdana" w:hAnsi="Verdana"/>
          <w:sz w:val="20"/>
          <w:szCs w:val="20"/>
        </w:rPr>
        <w:t xml:space="preserve"> </w:t>
      </w:r>
    </w:p>
    <w:p w14:paraId="3FC4DFEB" w14:textId="05776BA4" w:rsidR="00E664C4" w:rsidRPr="00E664C4" w:rsidRDefault="00E664C4" w:rsidP="00E664C4">
      <w:pPr>
        <w:spacing w:after="0"/>
        <w:jc w:val="both"/>
        <w:rPr>
          <w:rFonts w:ascii="Verdana" w:hAnsi="Verdana"/>
          <w:sz w:val="20"/>
          <w:szCs w:val="20"/>
        </w:rPr>
      </w:pPr>
      <w:r w:rsidRPr="00E664C4">
        <w:rPr>
          <w:rFonts w:ascii="Verdana" w:hAnsi="Verdana"/>
          <w:sz w:val="20"/>
          <w:szCs w:val="20"/>
        </w:rPr>
        <w:t>1.1.2.26</w:t>
      </w:r>
      <w:r w:rsidR="008721E3">
        <w:rPr>
          <w:rFonts w:ascii="Verdana" w:hAnsi="Verdana"/>
          <w:sz w:val="20"/>
          <w:szCs w:val="20"/>
        </w:rPr>
        <w:t>9</w:t>
      </w:r>
      <w:r w:rsidRPr="00E664C4">
        <w:rPr>
          <w:rFonts w:ascii="Verdana" w:hAnsi="Verdana"/>
          <w:sz w:val="20"/>
          <w:szCs w:val="20"/>
        </w:rPr>
        <w:t>.</w:t>
      </w:r>
    </w:p>
    <w:p w14:paraId="73097AD0" w14:textId="2C8619D7" w:rsidR="004C659D" w:rsidRDefault="00C719ED" w:rsidP="00E664C4">
      <w:pPr>
        <w:jc w:val="both"/>
        <w:rPr>
          <w:rFonts w:ascii="Verdana" w:hAnsi="Verdana"/>
          <w:sz w:val="20"/>
          <w:szCs w:val="20"/>
        </w:rPr>
      </w:pPr>
      <w:r w:rsidRPr="00C719ED">
        <w:rPr>
          <w:rFonts w:ascii="Verdana" w:hAnsi="Verdana"/>
          <w:sz w:val="20"/>
          <w:szCs w:val="20"/>
        </w:rPr>
        <w:t>Estos parámetros deben estar claramente documentados en las políticas y procedimientos del Fondo.</w:t>
      </w:r>
    </w:p>
    <w:p w14:paraId="1A1EC600" w14:textId="77282B69" w:rsidR="00C719ED" w:rsidRPr="00E664C4" w:rsidRDefault="00C719ED" w:rsidP="00C719ED">
      <w:pPr>
        <w:spacing w:after="0"/>
        <w:jc w:val="both"/>
        <w:rPr>
          <w:rFonts w:ascii="Verdana" w:hAnsi="Verdana"/>
          <w:sz w:val="20"/>
          <w:szCs w:val="20"/>
        </w:rPr>
      </w:pPr>
      <w:r w:rsidRPr="00E664C4">
        <w:rPr>
          <w:rFonts w:ascii="Verdana" w:hAnsi="Verdana"/>
          <w:sz w:val="20"/>
          <w:szCs w:val="20"/>
        </w:rPr>
        <w:t>1.1.2.2</w:t>
      </w:r>
      <w:r w:rsidR="008721E3">
        <w:rPr>
          <w:rFonts w:ascii="Verdana" w:hAnsi="Verdana"/>
          <w:sz w:val="20"/>
          <w:szCs w:val="20"/>
        </w:rPr>
        <w:t>70</w:t>
      </w:r>
      <w:r w:rsidRPr="00E664C4">
        <w:rPr>
          <w:rFonts w:ascii="Verdana" w:hAnsi="Verdana"/>
          <w:sz w:val="20"/>
          <w:szCs w:val="20"/>
        </w:rPr>
        <w:t>.</w:t>
      </w:r>
    </w:p>
    <w:p w14:paraId="299EBE1A" w14:textId="0FC050BE" w:rsidR="00C719ED" w:rsidRPr="00E664C4" w:rsidRDefault="00665B39" w:rsidP="00C719ED">
      <w:pPr>
        <w:jc w:val="both"/>
        <w:rPr>
          <w:rFonts w:ascii="Verdana" w:hAnsi="Verdana"/>
          <w:sz w:val="20"/>
          <w:szCs w:val="20"/>
        </w:rPr>
      </w:pPr>
      <w:r w:rsidRPr="00665B39">
        <w:rPr>
          <w:rFonts w:ascii="Verdana" w:hAnsi="Verdana"/>
          <w:sz w:val="20"/>
          <w:szCs w:val="20"/>
        </w:rPr>
        <w:t>Las metodologías y procedimientos implantados en el proceso de otorgamiento deben permitir monitorear y controlar la exposición de los diferentes portafolios de garantías, así como la del portafolio agregado, de conformidad con los límites establecidos por la JD, así como con el plan de negocio y apetito de riesgo de la entidad. Se deben señalar criterios sobre la forma como se orienta y diversifica el portafolio de garantías de la entidad, evitando una excesiva concentración por deudor, sector económico, grupo económico, factor de riesgo, entre otros.</w:t>
      </w:r>
    </w:p>
    <w:p w14:paraId="0F043315" w14:textId="77777777" w:rsidR="00EA4ECE" w:rsidRPr="00732E97" w:rsidRDefault="00EA4ECE" w:rsidP="00EA4ECE">
      <w:pPr>
        <w:pStyle w:val="Prrafodelista"/>
        <w:numPr>
          <w:ilvl w:val="0"/>
          <w:numId w:val="2"/>
        </w:numPr>
        <w:ind w:left="284" w:hanging="284"/>
        <w:jc w:val="both"/>
        <w:rPr>
          <w:rFonts w:ascii="Verdana" w:hAnsi="Verdana"/>
          <w:b/>
          <w:bCs/>
          <w:sz w:val="20"/>
          <w:szCs w:val="20"/>
        </w:rPr>
      </w:pPr>
      <w:r>
        <w:rPr>
          <w:rFonts w:ascii="Verdana" w:hAnsi="Verdana"/>
          <w:b/>
          <w:bCs/>
          <w:sz w:val="20"/>
          <w:szCs w:val="20"/>
        </w:rPr>
        <w:t>Medición</w:t>
      </w:r>
    </w:p>
    <w:p w14:paraId="2F286A39" w14:textId="4757D29E" w:rsidR="00EA4ECE" w:rsidRPr="0086035E" w:rsidRDefault="00EA4ECE" w:rsidP="00EA4EC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8E0148">
        <w:rPr>
          <w:rFonts w:ascii="Verdana" w:hAnsi="Verdana"/>
          <w:sz w:val="20"/>
          <w:szCs w:val="20"/>
        </w:rPr>
        <w:t>2</w:t>
      </w:r>
      <w:r w:rsidR="008721E3">
        <w:rPr>
          <w:rFonts w:ascii="Verdana" w:hAnsi="Verdana"/>
          <w:sz w:val="20"/>
          <w:szCs w:val="20"/>
        </w:rPr>
        <w:t>71</w:t>
      </w:r>
      <w:r w:rsidRPr="0086035E">
        <w:rPr>
          <w:rFonts w:ascii="Verdana" w:hAnsi="Verdana"/>
          <w:sz w:val="20"/>
          <w:szCs w:val="20"/>
        </w:rPr>
        <w:t>.</w:t>
      </w:r>
    </w:p>
    <w:p w14:paraId="3C7FCC06" w14:textId="6414293A" w:rsidR="00EA4ECE" w:rsidRDefault="00907E4C" w:rsidP="00EA4ECE">
      <w:pPr>
        <w:jc w:val="both"/>
        <w:rPr>
          <w:rFonts w:ascii="Verdana" w:hAnsi="Verdana"/>
          <w:sz w:val="20"/>
          <w:szCs w:val="20"/>
        </w:rPr>
      </w:pPr>
      <w:r w:rsidRPr="00907E4C">
        <w:rPr>
          <w:rFonts w:ascii="Verdana" w:hAnsi="Verdana"/>
          <w:sz w:val="20"/>
          <w:szCs w:val="20"/>
        </w:rPr>
        <w:t>La gestión del riesgo de garantía</w:t>
      </w:r>
      <w:r w:rsidR="005806A0">
        <w:rPr>
          <w:rFonts w:ascii="Verdana" w:hAnsi="Verdana"/>
          <w:sz w:val="20"/>
          <w:szCs w:val="20"/>
        </w:rPr>
        <w:t>s</w:t>
      </w:r>
      <w:r w:rsidRPr="00907E4C">
        <w:rPr>
          <w:rFonts w:ascii="Verdana" w:hAnsi="Verdana"/>
          <w:sz w:val="20"/>
          <w:szCs w:val="20"/>
        </w:rPr>
        <w:t xml:space="preserve"> debe prever sistemas de cubrimiento del riesgo mediante la constitución de reservas </w:t>
      </w:r>
      <w:r w:rsidR="00A0252F">
        <w:rPr>
          <w:rFonts w:ascii="Verdana" w:hAnsi="Verdana"/>
          <w:sz w:val="20"/>
          <w:szCs w:val="20"/>
        </w:rPr>
        <w:t xml:space="preserve">técnicas </w:t>
      </w:r>
      <w:r w:rsidRPr="00907E4C">
        <w:rPr>
          <w:rFonts w:ascii="Verdana" w:hAnsi="Verdana"/>
          <w:sz w:val="20"/>
          <w:szCs w:val="20"/>
        </w:rPr>
        <w:t>estimadas con una metodología o modelo que permita establecer la probabilidad de pérdida frente al nivel de siniestralidad de las garantías expedidas, efectuando una adecuada ponderación y cuantificación de los riesgos implícitos.</w:t>
      </w:r>
    </w:p>
    <w:p w14:paraId="0DC2C851" w14:textId="6A2F50AB" w:rsidR="00EA4ECE" w:rsidRPr="0086035E" w:rsidRDefault="00EA4ECE" w:rsidP="00EA4EC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8E0148">
        <w:rPr>
          <w:rFonts w:ascii="Verdana" w:hAnsi="Verdana"/>
          <w:sz w:val="20"/>
          <w:szCs w:val="20"/>
        </w:rPr>
        <w:t>27</w:t>
      </w:r>
      <w:r w:rsidR="008721E3">
        <w:rPr>
          <w:rFonts w:ascii="Verdana" w:hAnsi="Verdana"/>
          <w:sz w:val="20"/>
          <w:szCs w:val="20"/>
        </w:rPr>
        <w:t>2</w:t>
      </w:r>
      <w:r w:rsidRPr="0086035E">
        <w:rPr>
          <w:rFonts w:ascii="Verdana" w:hAnsi="Verdana"/>
          <w:sz w:val="20"/>
          <w:szCs w:val="20"/>
        </w:rPr>
        <w:t>.</w:t>
      </w:r>
    </w:p>
    <w:p w14:paraId="2CA0B30D" w14:textId="418956C0" w:rsidR="00EA4ECE" w:rsidRPr="009852C8" w:rsidRDefault="001A74F9" w:rsidP="00EA4ECE">
      <w:pPr>
        <w:jc w:val="both"/>
        <w:rPr>
          <w:rFonts w:ascii="Verdana" w:hAnsi="Verdana"/>
          <w:sz w:val="20"/>
          <w:szCs w:val="20"/>
        </w:rPr>
      </w:pPr>
      <w:r w:rsidRPr="001A74F9">
        <w:rPr>
          <w:rFonts w:ascii="Verdana" w:hAnsi="Verdana"/>
          <w:sz w:val="20"/>
          <w:szCs w:val="20"/>
        </w:rPr>
        <w:t xml:space="preserve">La entidad puede destinar proporcionalmente la reserva de estabilización de que trata el Decreto 2555 de 2010, para el reconocimiento de los ajustes </w:t>
      </w:r>
      <w:proofErr w:type="spellStart"/>
      <w:r w:rsidRPr="001A74F9">
        <w:rPr>
          <w:rFonts w:ascii="Verdana" w:hAnsi="Verdana"/>
          <w:sz w:val="20"/>
          <w:szCs w:val="20"/>
        </w:rPr>
        <w:t>contracíclicos</w:t>
      </w:r>
      <w:proofErr w:type="spellEnd"/>
      <w:r w:rsidRPr="001A74F9">
        <w:rPr>
          <w:rFonts w:ascii="Verdana" w:hAnsi="Verdana"/>
          <w:sz w:val="20"/>
          <w:szCs w:val="20"/>
        </w:rPr>
        <w:t>.</w:t>
      </w:r>
    </w:p>
    <w:p w14:paraId="2C01D031" w14:textId="527FD8AD" w:rsidR="00EA4ECE" w:rsidRPr="009852C8" w:rsidRDefault="005E0A91" w:rsidP="00EA4ECE">
      <w:pPr>
        <w:pStyle w:val="Prrafodelista"/>
        <w:numPr>
          <w:ilvl w:val="0"/>
          <w:numId w:val="6"/>
        </w:numPr>
        <w:ind w:left="567" w:hanging="283"/>
        <w:jc w:val="both"/>
        <w:rPr>
          <w:rFonts w:ascii="Verdana" w:hAnsi="Verdana"/>
          <w:b/>
          <w:bCs/>
          <w:sz w:val="20"/>
          <w:szCs w:val="20"/>
        </w:rPr>
      </w:pPr>
      <w:r w:rsidRPr="005E0A91">
        <w:rPr>
          <w:rFonts w:ascii="Verdana" w:hAnsi="Verdana"/>
          <w:b/>
          <w:bCs/>
          <w:sz w:val="20"/>
          <w:szCs w:val="20"/>
        </w:rPr>
        <w:t xml:space="preserve">Estimación de la pérdida esperada </w:t>
      </w:r>
    </w:p>
    <w:p w14:paraId="5C9CB2CD" w14:textId="2E1D7419" w:rsidR="00EA4ECE" w:rsidRPr="0086035E" w:rsidRDefault="00EA4ECE" w:rsidP="00EA4EC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F01EB0">
        <w:rPr>
          <w:rFonts w:ascii="Verdana" w:hAnsi="Verdana"/>
          <w:sz w:val="20"/>
          <w:szCs w:val="20"/>
        </w:rPr>
        <w:t>7</w:t>
      </w:r>
      <w:r w:rsidR="008721E3">
        <w:rPr>
          <w:rFonts w:ascii="Verdana" w:hAnsi="Verdana"/>
          <w:sz w:val="20"/>
          <w:szCs w:val="20"/>
        </w:rPr>
        <w:t>3</w:t>
      </w:r>
      <w:r w:rsidRPr="0086035E">
        <w:rPr>
          <w:rFonts w:ascii="Verdana" w:hAnsi="Verdana"/>
          <w:sz w:val="20"/>
          <w:szCs w:val="20"/>
        </w:rPr>
        <w:t>.</w:t>
      </w:r>
    </w:p>
    <w:p w14:paraId="02845BDC" w14:textId="779617CD" w:rsidR="00EA4ECE" w:rsidRDefault="00F1575B" w:rsidP="00EA4ECE">
      <w:pPr>
        <w:jc w:val="both"/>
        <w:rPr>
          <w:rFonts w:ascii="Verdana" w:hAnsi="Verdana"/>
          <w:sz w:val="20"/>
          <w:szCs w:val="20"/>
        </w:rPr>
      </w:pPr>
      <w:r w:rsidRPr="00F1575B">
        <w:rPr>
          <w:rFonts w:ascii="Verdana" w:hAnsi="Verdana"/>
          <w:sz w:val="20"/>
          <w:szCs w:val="20"/>
        </w:rPr>
        <w:t>La administración del riesgo de garantías requiere una determinación apropiada y objetiva de las reservas a constituir y de las comisiones a cobrar en contraprestación por el riesgo asumido que debe mantener el FNG para asegurar su viabilidad financiera de acuerdo con el nivel de riesgo.</w:t>
      </w:r>
      <w:r w:rsidR="00EA4ECE" w:rsidRPr="00D80F71">
        <w:rPr>
          <w:rFonts w:ascii="Verdana" w:hAnsi="Verdana"/>
          <w:sz w:val="20"/>
          <w:szCs w:val="20"/>
        </w:rPr>
        <w:t xml:space="preserve"> </w:t>
      </w:r>
    </w:p>
    <w:p w14:paraId="4025D442" w14:textId="27E8BB57" w:rsidR="00FD10DD" w:rsidRPr="0086035E" w:rsidRDefault="00FD10DD" w:rsidP="00FD10D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F01EB0">
        <w:rPr>
          <w:rFonts w:ascii="Verdana" w:hAnsi="Verdana"/>
          <w:sz w:val="20"/>
          <w:szCs w:val="20"/>
        </w:rPr>
        <w:t>7</w:t>
      </w:r>
      <w:r w:rsidR="00106DD9">
        <w:rPr>
          <w:rFonts w:ascii="Verdana" w:hAnsi="Verdana"/>
          <w:sz w:val="20"/>
          <w:szCs w:val="20"/>
        </w:rPr>
        <w:t>4</w:t>
      </w:r>
      <w:r w:rsidRPr="0086035E">
        <w:rPr>
          <w:rFonts w:ascii="Verdana" w:hAnsi="Verdana"/>
          <w:sz w:val="20"/>
          <w:szCs w:val="20"/>
        </w:rPr>
        <w:t>.</w:t>
      </w:r>
    </w:p>
    <w:p w14:paraId="064CB9CD" w14:textId="7930977D" w:rsidR="00FD10DD" w:rsidRPr="00971AAA" w:rsidRDefault="00902DE8" w:rsidP="00FD10DD">
      <w:pPr>
        <w:jc w:val="both"/>
        <w:rPr>
          <w:rFonts w:ascii="Verdana" w:hAnsi="Verdana"/>
          <w:sz w:val="20"/>
          <w:szCs w:val="20"/>
        </w:rPr>
      </w:pPr>
      <w:r w:rsidRPr="00902DE8">
        <w:rPr>
          <w:rFonts w:ascii="Verdana" w:hAnsi="Verdana"/>
          <w:sz w:val="20"/>
          <w:szCs w:val="20"/>
        </w:rPr>
        <w:t xml:space="preserve">La gestión del riesgo de garantías debe estimar o cuantificar las reservas técnicas de cada modalidad de garantía. Al adoptar sistemas de medición de tales reservas, el FNG debe diseñar respecto a cada modalidad, sus propios modelos internos de estimación; estos modelos deben ser presentados a la SFC para su evaluación previa, la cual, en </w:t>
      </w:r>
      <w:r w:rsidRPr="00902DE8">
        <w:rPr>
          <w:rFonts w:ascii="Verdana" w:hAnsi="Verdana"/>
          <w:sz w:val="20"/>
          <w:szCs w:val="20"/>
        </w:rPr>
        <w:lastRenderedPageBreak/>
        <w:t>todos los casos, emitirá un pronunciamiento respecto de su objeción o no para que sean aplicados. El FNG realizará la constitución de reservas de acuerdo con los resultados arrojados por los modelos técnicos adoptados en desarrollo de la gestión del riesgo de garantías.</w:t>
      </w:r>
    </w:p>
    <w:p w14:paraId="34E223BE" w14:textId="731629BA" w:rsidR="00FD10DD" w:rsidRPr="0086035E" w:rsidRDefault="00FD10DD" w:rsidP="00FD10D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F01EB0">
        <w:rPr>
          <w:rFonts w:ascii="Verdana" w:hAnsi="Verdana"/>
          <w:sz w:val="20"/>
          <w:szCs w:val="20"/>
        </w:rPr>
        <w:t>7</w:t>
      </w:r>
      <w:r w:rsidR="00106DD9">
        <w:rPr>
          <w:rFonts w:ascii="Verdana" w:hAnsi="Verdana"/>
          <w:sz w:val="20"/>
          <w:szCs w:val="20"/>
        </w:rPr>
        <w:t>5</w:t>
      </w:r>
      <w:r w:rsidRPr="0086035E">
        <w:rPr>
          <w:rFonts w:ascii="Verdana" w:hAnsi="Verdana"/>
          <w:sz w:val="20"/>
          <w:szCs w:val="20"/>
        </w:rPr>
        <w:t>.</w:t>
      </w:r>
    </w:p>
    <w:p w14:paraId="628200F2" w14:textId="125344CF" w:rsidR="00FD10DD" w:rsidRPr="00971AAA" w:rsidRDefault="0038324B" w:rsidP="00FD10DD">
      <w:pPr>
        <w:jc w:val="both"/>
        <w:rPr>
          <w:rFonts w:ascii="Verdana" w:hAnsi="Verdana"/>
          <w:sz w:val="20"/>
          <w:szCs w:val="20"/>
        </w:rPr>
      </w:pPr>
      <w:r w:rsidRPr="0038324B">
        <w:rPr>
          <w:rFonts w:ascii="Verdana" w:hAnsi="Verdana"/>
          <w:sz w:val="20"/>
          <w:szCs w:val="20"/>
        </w:rPr>
        <w:t>El nivel de reservas debe ser suficiente para cubrir los riesgos derivados del otorgamiento de garantías. En tal sentido, se deben hacer pruebas de estrés de los modelos de reservas y evaluaciones de desempeño frente a los resultados de los siniestros.</w:t>
      </w:r>
      <w:r w:rsidR="00FD10DD" w:rsidRPr="00D80F71">
        <w:rPr>
          <w:rFonts w:ascii="Verdana" w:hAnsi="Verdana"/>
          <w:sz w:val="20"/>
          <w:szCs w:val="20"/>
        </w:rPr>
        <w:t xml:space="preserve"> </w:t>
      </w:r>
    </w:p>
    <w:p w14:paraId="2BD22A37" w14:textId="5A022F17" w:rsidR="00FD10DD" w:rsidRPr="0086035E" w:rsidRDefault="00FD10DD" w:rsidP="00FD10D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F01EB0">
        <w:rPr>
          <w:rFonts w:ascii="Verdana" w:hAnsi="Verdana"/>
          <w:sz w:val="20"/>
          <w:szCs w:val="20"/>
        </w:rPr>
        <w:t>7</w:t>
      </w:r>
      <w:r w:rsidR="00106DD9">
        <w:rPr>
          <w:rFonts w:ascii="Verdana" w:hAnsi="Verdana"/>
          <w:sz w:val="20"/>
          <w:szCs w:val="20"/>
        </w:rPr>
        <w:t>6</w:t>
      </w:r>
      <w:r w:rsidRPr="0086035E">
        <w:rPr>
          <w:rFonts w:ascii="Verdana" w:hAnsi="Verdana"/>
          <w:sz w:val="20"/>
          <w:szCs w:val="20"/>
        </w:rPr>
        <w:t>.</w:t>
      </w:r>
    </w:p>
    <w:p w14:paraId="1B10E882" w14:textId="1C02F088" w:rsidR="00FD10DD" w:rsidRPr="00971AAA" w:rsidRDefault="00837B67" w:rsidP="00EA4ECE">
      <w:pPr>
        <w:jc w:val="both"/>
        <w:rPr>
          <w:rFonts w:ascii="Verdana" w:hAnsi="Verdana"/>
          <w:sz w:val="20"/>
          <w:szCs w:val="20"/>
        </w:rPr>
      </w:pPr>
      <w:r w:rsidRPr="00837B67">
        <w:rPr>
          <w:rFonts w:ascii="Verdana" w:hAnsi="Verdana"/>
          <w:sz w:val="20"/>
          <w:szCs w:val="20"/>
        </w:rPr>
        <w:t>En general, el FNG debe buscar que el nivel de reservas y las comisiones de garantías guarden correspondencia técnica, salvo que la JD establezca un tratamiento excepcional de comisiones respecto de programas de garantía</w:t>
      </w:r>
      <w:r w:rsidR="007727D0">
        <w:rPr>
          <w:rFonts w:ascii="Verdana" w:hAnsi="Verdana"/>
          <w:sz w:val="20"/>
          <w:szCs w:val="20"/>
        </w:rPr>
        <w:t>s</w:t>
      </w:r>
      <w:r w:rsidRPr="00837B67">
        <w:rPr>
          <w:rFonts w:ascii="Verdana" w:hAnsi="Verdana"/>
          <w:sz w:val="20"/>
          <w:szCs w:val="20"/>
        </w:rPr>
        <w:t xml:space="preserve"> de particular interés para el Gobierno Nacional, caso en el cual el tratamiento excepcional debe estar debidamente documentado y aprobado. En todo caso las reservas deben ser adecuadas para cubrir el riesgo de las garantías.</w:t>
      </w:r>
      <w:r w:rsidR="00FD10DD" w:rsidRPr="00D80F71">
        <w:rPr>
          <w:rFonts w:ascii="Verdana" w:hAnsi="Verdana"/>
          <w:sz w:val="20"/>
          <w:szCs w:val="20"/>
        </w:rPr>
        <w:t xml:space="preserve"> </w:t>
      </w:r>
    </w:p>
    <w:p w14:paraId="2AC4C44A" w14:textId="14402EAC" w:rsidR="00EA4ECE" w:rsidRPr="008C499F" w:rsidRDefault="00FB06DB" w:rsidP="00EA4ECE">
      <w:pPr>
        <w:pStyle w:val="Prrafodelista"/>
        <w:numPr>
          <w:ilvl w:val="0"/>
          <w:numId w:val="6"/>
        </w:numPr>
        <w:ind w:left="567" w:hanging="283"/>
        <w:jc w:val="both"/>
        <w:rPr>
          <w:rFonts w:ascii="Verdana" w:hAnsi="Verdana"/>
          <w:b/>
          <w:bCs/>
          <w:sz w:val="20"/>
          <w:szCs w:val="20"/>
        </w:rPr>
      </w:pPr>
      <w:r w:rsidRPr="00FB06DB">
        <w:rPr>
          <w:rFonts w:ascii="Verdana" w:hAnsi="Verdana"/>
          <w:b/>
          <w:bCs/>
          <w:sz w:val="20"/>
          <w:szCs w:val="20"/>
        </w:rPr>
        <w:t xml:space="preserve">Identificación de los mecanismos de cobertura de riesgo </w:t>
      </w:r>
    </w:p>
    <w:p w14:paraId="59AB1BA8" w14:textId="34D1716A" w:rsidR="00EA4ECE" w:rsidRPr="0086035E" w:rsidRDefault="00EA4ECE" w:rsidP="00EA4EC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F01EB0">
        <w:rPr>
          <w:rFonts w:ascii="Verdana" w:hAnsi="Verdana"/>
          <w:sz w:val="20"/>
          <w:szCs w:val="20"/>
        </w:rPr>
        <w:t>7</w:t>
      </w:r>
      <w:r w:rsidR="00106DD9">
        <w:rPr>
          <w:rFonts w:ascii="Verdana" w:hAnsi="Verdana"/>
          <w:sz w:val="20"/>
          <w:szCs w:val="20"/>
        </w:rPr>
        <w:t>7</w:t>
      </w:r>
      <w:r w:rsidRPr="0086035E">
        <w:rPr>
          <w:rFonts w:ascii="Verdana" w:hAnsi="Verdana"/>
          <w:sz w:val="20"/>
          <w:szCs w:val="20"/>
        </w:rPr>
        <w:t>.</w:t>
      </w:r>
    </w:p>
    <w:p w14:paraId="1450E589" w14:textId="752BE428" w:rsidR="00EA4ECE" w:rsidRDefault="006F3A76" w:rsidP="00EA4ECE">
      <w:pPr>
        <w:jc w:val="both"/>
        <w:rPr>
          <w:rFonts w:ascii="Verdana" w:hAnsi="Verdana"/>
          <w:sz w:val="20"/>
          <w:szCs w:val="20"/>
        </w:rPr>
      </w:pPr>
      <w:r w:rsidRPr="006F3A76">
        <w:rPr>
          <w:rFonts w:ascii="Verdana" w:hAnsi="Verdana"/>
          <w:sz w:val="20"/>
          <w:szCs w:val="20"/>
        </w:rPr>
        <w:t>Cuando resulte necesario, deben identificarse los tipos de contrato de cobertura de riesgo, que respalden la operación del producto e incluir la carta de intención de los proveedores de cobertura, de participar en tales contratos.</w:t>
      </w:r>
    </w:p>
    <w:p w14:paraId="4EF21B7C" w14:textId="5C3B311C" w:rsidR="00EA4ECE" w:rsidRPr="009852C8" w:rsidRDefault="00B33D71" w:rsidP="00EA4ECE">
      <w:pPr>
        <w:pStyle w:val="Prrafodelista"/>
        <w:numPr>
          <w:ilvl w:val="0"/>
          <w:numId w:val="6"/>
        </w:numPr>
        <w:ind w:left="567" w:hanging="283"/>
        <w:jc w:val="both"/>
        <w:rPr>
          <w:rFonts w:ascii="Verdana" w:hAnsi="Verdana"/>
          <w:b/>
          <w:bCs/>
          <w:sz w:val="20"/>
          <w:szCs w:val="20"/>
        </w:rPr>
      </w:pPr>
      <w:r w:rsidRPr="00B33D71">
        <w:rPr>
          <w:rFonts w:ascii="Verdana" w:hAnsi="Verdana"/>
          <w:b/>
          <w:bCs/>
          <w:sz w:val="20"/>
          <w:szCs w:val="20"/>
        </w:rPr>
        <w:t xml:space="preserve">Modelos de comisiones, reservas y notas técnicas </w:t>
      </w:r>
    </w:p>
    <w:p w14:paraId="391536B2" w14:textId="1F3499CF" w:rsidR="00EA4ECE" w:rsidRPr="0086035E" w:rsidRDefault="00EA4ECE" w:rsidP="00EA4EC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F01EB0">
        <w:rPr>
          <w:rFonts w:ascii="Verdana" w:hAnsi="Verdana"/>
          <w:sz w:val="20"/>
          <w:szCs w:val="20"/>
        </w:rPr>
        <w:t>7</w:t>
      </w:r>
      <w:r w:rsidR="00106DD9">
        <w:rPr>
          <w:rFonts w:ascii="Verdana" w:hAnsi="Verdana"/>
          <w:sz w:val="20"/>
          <w:szCs w:val="20"/>
        </w:rPr>
        <w:t>8</w:t>
      </w:r>
      <w:r w:rsidRPr="0086035E">
        <w:rPr>
          <w:rFonts w:ascii="Verdana" w:hAnsi="Verdana"/>
          <w:sz w:val="20"/>
          <w:szCs w:val="20"/>
        </w:rPr>
        <w:t>.</w:t>
      </w:r>
    </w:p>
    <w:p w14:paraId="7DE00B8C" w14:textId="7FCEA5FA" w:rsidR="00EA4ECE" w:rsidRDefault="009E61B0" w:rsidP="00EA4ECE">
      <w:pPr>
        <w:jc w:val="both"/>
        <w:rPr>
          <w:rFonts w:ascii="Verdana" w:hAnsi="Verdana"/>
          <w:sz w:val="20"/>
          <w:szCs w:val="20"/>
        </w:rPr>
      </w:pPr>
      <w:r w:rsidRPr="009E61B0">
        <w:rPr>
          <w:rFonts w:ascii="Verdana" w:hAnsi="Verdana"/>
          <w:sz w:val="20"/>
          <w:szCs w:val="20"/>
        </w:rPr>
        <w:t>El FNG debe remitir a la SFC las metodologías de medición de riesgos para los diversos productos de garantía</w:t>
      </w:r>
      <w:r w:rsidR="00DE5D5D">
        <w:rPr>
          <w:rFonts w:ascii="Verdana" w:hAnsi="Verdana"/>
          <w:sz w:val="20"/>
          <w:szCs w:val="20"/>
        </w:rPr>
        <w:t>s</w:t>
      </w:r>
      <w:r w:rsidRPr="009E61B0">
        <w:rPr>
          <w:rFonts w:ascii="Verdana" w:hAnsi="Verdana"/>
          <w:sz w:val="20"/>
          <w:szCs w:val="20"/>
        </w:rPr>
        <w:t xml:space="preserve"> de acuerdo con las modalidades o segmentación realizada por dicha entidad, así como la metodología de determinación de las comisiones correspondientes.</w:t>
      </w:r>
      <w:r w:rsidR="00EA4ECE" w:rsidRPr="009852C8">
        <w:rPr>
          <w:rFonts w:ascii="Verdana" w:hAnsi="Verdana"/>
          <w:sz w:val="20"/>
          <w:szCs w:val="20"/>
        </w:rPr>
        <w:t xml:space="preserve"> </w:t>
      </w:r>
    </w:p>
    <w:p w14:paraId="2917E6E6" w14:textId="772EAE43" w:rsidR="009E61B0" w:rsidRPr="0086035E" w:rsidRDefault="009E61B0" w:rsidP="009E61B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F01EB0">
        <w:rPr>
          <w:rFonts w:ascii="Verdana" w:hAnsi="Verdana"/>
          <w:sz w:val="20"/>
          <w:szCs w:val="20"/>
        </w:rPr>
        <w:t>7</w:t>
      </w:r>
      <w:r w:rsidR="00106DD9">
        <w:rPr>
          <w:rFonts w:ascii="Verdana" w:hAnsi="Verdana"/>
          <w:sz w:val="20"/>
          <w:szCs w:val="20"/>
        </w:rPr>
        <w:t>9</w:t>
      </w:r>
      <w:r w:rsidRPr="0086035E">
        <w:rPr>
          <w:rFonts w:ascii="Verdana" w:hAnsi="Verdana"/>
          <w:sz w:val="20"/>
          <w:szCs w:val="20"/>
        </w:rPr>
        <w:t>.</w:t>
      </w:r>
    </w:p>
    <w:p w14:paraId="1501DB33" w14:textId="5C792959" w:rsidR="009E61B0" w:rsidRDefault="00BB4F94" w:rsidP="009E61B0">
      <w:pPr>
        <w:jc w:val="both"/>
        <w:rPr>
          <w:rFonts w:ascii="Verdana" w:hAnsi="Verdana"/>
          <w:sz w:val="20"/>
          <w:szCs w:val="20"/>
        </w:rPr>
      </w:pPr>
      <w:r w:rsidRPr="00BB4F94">
        <w:rPr>
          <w:rFonts w:ascii="Verdana" w:hAnsi="Verdana"/>
          <w:sz w:val="20"/>
          <w:szCs w:val="20"/>
        </w:rPr>
        <w:t>Las notas técnicas que respalden los cálculos actuariales realizados son parte indispensable de dicha documentación y, además, deben sustentar la tasa pura de riesgo, que está determinada a partir de la frecuencia de los siniestros y el monto esperado a pagar por los mismos. Dichas notas deben expresar de manera específica, los porcentajes por concepto de gastos de administración, comisión de intermediación y utilidad esperada por el FNG. Cuando el porcentaje de retención de riesgo, entendido como el porcentaje de riesgo a cargo del FNG, una vez descontada la cesión de riesgos, resulte ser inferior al 20%, el componente de tasa pura de riesgo de la nota técnica podrá ser aquel que establezca el proveedor de cobertura. Naturalmente, en los casos en que esta situación cambie y el nivel de retención de riesgo sea mayor, a dicho porcentaje, este componente debe ser sustentado por el FNG.</w:t>
      </w:r>
    </w:p>
    <w:p w14:paraId="1BE3DCE5" w14:textId="387DD8AA" w:rsidR="009E61B0" w:rsidRPr="0086035E" w:rsidRDefault="009E61B0" w:rsidP="009E61B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F01EB0">
        <w:rPr>
          <w:rFonts w:ascii="Verdana" w:hAnsi="Verdana"/>
          <w:sz w:val="20"/>
          <w:szCs w:val="20"/>
        </w:rPr>
        <w:t>8</w:t>
      </w:r>
      <w:r w:rsidR="00106DD9">
        <w:rPr>
          <w:rFonts w:ascii="Verdana" w:hAnsi="Verdana"/>
          <w:sz w:val="20"/>
          <w:szCs w:val="20"/>
        </w:rPr>
        <w:t>0</w:t>
      </w:r>
      <w:r w:rsidRPr="0086035E">
        <w:rPr>
          <w:rFonts w:ascii="Verdana" w:hAnsi="Verdana"/>
          <w:sz w:val="20"/>
          <w:szCs w:val="20"/>
        </w:rPr>
        <w:t>.</w:t>
      </w:r>
    </w:p>
    <w:p w14:paraId="0EAD9B3D" w14:textId="2D646B43" w:rsidR="00A859E2" w:rsidRDefault="00F01EB0" w:rsidP="00A859E2">
      <w:pPr>
        <w:jc w:val="both"/>
        <w:rPr>
          <w:rFonts w:ascii="Verdana" w:hAnsi="Verdana"/>
          <w:sz w:val="20"/>
          <w:szCs w:val="20"/>
        </w:rPr>
      </w:pPr>
      <w:r w:rsidRPr="00F01EB0">
        <w:rPr>
          <w:rFonts w:ascii="Verdana" w:hAnsi="Verdana"/>
          <w:sz w:val="20"/>
          <w:szCs w:val="20"/>
        </w:rPr>
        <w:t>Las modificaciones que se introduzcan a la nota técnica con posterioridad a la no objeción del modelo de gestión del riesgo de garantía se deben remitir a la SFC en forma previa a su utilización.</w:t>
      </w:r>
    </w:p>
    <w:p w14:paraId="352935D9" w14:textId="10033CD8" w:rsidR="00A859E2" w:rsidRPr="009852C8" w:rsidRDefault="00A859E2" w:rsidP="00A859E2">
      <w:pPr>
        <w:pStyle w:val="Prrafodelista"/>
        <w:numPr>
          <w:ilvl w:val="0"/>
          <w:numId w:val="6"/>
        </w:numPr>
        <w:ind w:left="567" w:hanging="283"/>
        <w:jc w:val="both"/>
        <w:rPr>
          <w:rFonts w:ascii="Verdana" w:hAnsi="Verdana"/>
          <w:b/>
          <w:bCs/>
          <w:sz w:val="20"/>
          <w:szCs w:val="20"/>
        </w:rPr>
      </w:pPr>
      <w:r>
        <w:rPr>
          <w:rFonts w:ascii="Verdana" w:hAnsi="Verdana"/>
          <w:b/>
          <w:bCs/>
          <w:sz w:val="20"/>
          <w:szCs w:val="20"/>
        </w:rPr>
        <w:t>Requisitos generales para el cálculo de las comisiones</w:t>
      </w:r>
    </w:p>
    <w:p w14:paraId="090392A3" w14:textId="50689F69" w:rsidR="00A859E2" w:rsidRPr="0086035E" w:rsidRDefault="00A859E2" w:rsidP="00A859E2">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106DD9">
        <w:rPr>
          <w:rFonts w:ascii="Verdana" w:hAnsi="Verdana"/>
          <w:sz w:val="20"/>
          <w:szCs w:val="20"/>
        </w:rPr>
        <w:t>81</w:t>
      </w:r>
      <w:r w:rsidRPr="0086035E">
        <w:rPr>
          <w:rFonts w:ascii="Verdana" w:hAnsi="Verdana"/>
          <w:sz w:val="20"/>
          <w:szCs w:val="20"/>
        </w:rPr>
        <w:t>.</w:t>
      </w:r>
    </w:p>
    <w:p w14:paraId="691D31A8" w14:textId="137F0566" w:rsidR="00A859E2" w:rsidRDefault="00366937" w:rsidP="00A859E2">
      <w:pPr>
        <w:jc w:val="both"/>
        <w:rPr>
          <w:rFonts w:ascii="Verdana" w:hAnsi="Verdana"/>
          <w:sz w:val="20"/>
          <w:szCs w:val="20"/>
        </w:rPr>
      </w:pPr>
      <w:r w:rsidRPr="00366937">
        <w:rPr>
          <w:rFonts w:ascii="Verdana" w:hAnsi="Verdana"/>
          <w:sz w:val="20"/>
          <w:szCs w:val="20"/>
        </w:rPr>
        <w:t>Las comisiones deben observar los principios técnicos de equidad, eficiencia, homogeneidad y representatividad, y deben estar fundamentadas en análisis estadísticos.</w:t>
      </w:r>
    </w:p>
    <w:p w14:paraId="3EFDBF62" w14:textId="47DC20F7" w:rsidR="00366937" w:rsidRPr="0086035E" w:rsidRDefault="00366937" w:rsidP="00366937">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D67C3D">
        <w:rPr>
          <w:rFonts w:ascii="Verdana" w:hAnsi="Verdana"/>
          <w:sz w:val="20"/>
          <w:szCs w:val="20"/>
        </w:rPr>
        <w:t>8</w:t>
      </w:r>
      <w:r w:rsidR="00CD417D">
        <w:rPr>
          <w:rFonts w:ascii="Verdana" w:hAnsi="Verdana"/>
          <w:sz w:val="20"/>
          <w:szCs w:val="20"/>
        </w:rPr>
        <w:t>2</w:t>
      </w:r>
      <w:r w:rsidRPr="0086035E">
        <w:rPr>
          <w:rFonts w:ascii="Verdana" w:hAnsi="Verdana"/>
          <w:sz w:val="20"/>
          <w:szCs w:val="20"/>
        </w:rPr>
        <w:t>.</w:t>
      </w:r>
    </w:p>
    <w:p w14:paraId="27A3E553" w14:textId="6DD1FAD5" w:rsidR="00366937" w:rsidRDefault="004A72FF" w:rsidP="00366937">
      <w:pPr>
        <w:jc w:val="both"/>
        <w:rPr>
          <w:rFonts w:ascii="Verdana" w:hAnsi="Verdana"/>
          <w:sz w:val="20"/>
          <w:szCs w:val="20"/>
        </w:rPr>
      </w:pPr>
      <w:r w:rsidRPr="004A72FF">
        <w:rPr>
          <w:rFonts w:ascii="Verdana" w:hAnsi="Verdana"/>
          <w:sz w:val="20"/>
          <w:szCs w:val="20"/>
        </w:rPr>
        <w:t>Los estudios técnicos y estadísticos que sustenten las comisiones deben observar tales principios así</w:t>
      </w:r>
      <w:r>
        <w:rPr>
          <w:rFonts w:ascii="Verdana" w:hAnsi="Verdana"/>
          <w:sz w:val="20"/>
          <w:szCs w:val="20"/>
        </w:rPr>
        <w:t>:</w:t>
      </w:r>
    </w:p>
    <w:p w14:paraId="6E793F4F" w14:textId="75E2F75F" w:rsidR="00DA4CF0" w:rsidRDefault="00DA4CF0" w:rsidP="00DA4CF0">
      <w:pPr>
        <w:pStyle w:val="Prrafodelista"/>
        <w:numPr>
          <w:ilvl w:val="0"/>
          <w:numId w:val="83"/>
        </w:numPr>
        <w:ind w:left="567" w:hanging="567"/>
        <w:jc w:val="both"/>
        <w:rPr>
          <w:rFonts w:ascii="Verdana" w:hAnsi="Verdana"/>
          <w:sz w:val="20"/>
          <w:szCs w:val="20"/>
        </w:rPr>
      </w:pPr>
      <w:r w:rsidRPr="00DA4CF0">
        <w:rPr>
          <w:rFonts w:ascii="Verdana" w:hAnsi="Verdana"/>
          <w:sz w:val="20"/>
          <w:szCs w:val="20"/>
        </w:rPr>
        <w:t xml:space="preserve">Equidad: </w:t>
      </w:r>
      <w:r w:rsidR="00E85979">
        <w:rPr>
          <w:rFonts w:ascii="Verdana" w:hAnsi="Verdana"/>
          <w:sz w:val="20"/>
          <w:szCs w:val="20"/>
        </w:rPr>
        <w:t>l</w:t>
      </w:r>
      <w:r w:rsidRPr="00DA4CF0">
        <w:rPr>
          <w:rFonts w:ascii="Verdana" w:hAnsi="Verdana"/>
          <w:sz w:val="20"/>
          <w:szCs w:val="20"/>
        </w:rPr>
        <w:t>a comisión y el riesgo deben presentar una correlación positiva, de acuerdo con las condiciones objetivas del riesgo.</w:t>
      </w:r>
    </w:p>
    <w:p w14:paraId="63C00F52" w14:textId="77777777" w:rsidR="00DA4CF0" w:rsidRDefault="00DA4CF0" w:rsidP="00DA4CF0">
      <w:pPr>
        <w:pStyle w:val="Prrafodelista"/>
        <w:ind w:left="567"/>
        <w:jc w:val="both"/>
        <w:rPr>
          <w:rFonts w:ascii="Verdana" w:hAnsi="Verdana"/>
          <w:sz w:val="20"/>
          <w:szCs w:val="20"/>
        </w:rPr>
      </w:pPr>
    </w:p>
    <w:p w14:paraId="5E51EDEB" w14:textId="0DB1B7C0" w:rsidR="00DA4CF0" w:rsidRDefault="00DA4CF0" w:rsidP="00DA4CF0">
      <w:pPr>
        <w:pStyle w:val="Prrafodelista"/>
        <w:numPr>
          <w:ilvl w:val="0"/>
          <w:numId w:val="83"/>
        </w:numPr>
        <w:ind w:left="567" w:hanging="567"/>
        <w:jc w:val="both"/>
        <w:rPr>
          <w:rFonts w:ascii="Verdana" w:hAnsi="Verdana"/>
          <w:sz w:val="20"/>
          <w:szCs w:val="20"/>
        </w:rPr>
      </w:pPr>
      <w:r w:rsidRPr="00DA4CF0">
        <w:rPr>
          <w:rFonts w:ascii="Verdana" w:hAnsi="Verdana"/>
          <w:sz w:val="20"/>
          <w:szCs w:val="20"/>
        </w:rPr>
        <w:t xml:space="preserve">Suficiencia: </w:t>
      </w:r>
      <w:r w:rsidR="00E85979">
        <w:rPr>
          <w:rFonts w:ascii="Verdana" w:hAnsi="Verdana"/>
          <w:sz w:val="20"/>
          <w:szCs w:val="20"/>
        </w:rPr>
        <w:t>l</w:t>
      </w:r>
      <w:r w:rsidRPr="00DA4CF0">
        <w:rPr>
          <w:rFonts w:ascii="Verdana" w:hAnsi="Verdana"/>
          <w:sz w:val="20"/>
          <w:szCs w:val="20"/>
        </w:rPr>
        <w:t>a comisión debe cubrir razonablemente la tasa de riesgo y los costos propios de la operación, tales como costos de adquisición, administrativos y utilidades.</w:t>
      </w:r>
    </w:p>
    <w:p w14:paraId="08213ED2" w14:textId="77777777" w:rsidR="00DA4CF0" w:rsidRPr="00DA4CF0" w:rsidRDefault="00DA4CF0" w:rsidP="00DA4CF0">
      <w:pPr>
        <w:pStyle w:val="Prrafodelista"/>
        <w:rPr>
          <w:rFonts w:ascii="Verdana" w:hAnsi="Verdana"/>
          <w:sz w:val="20"/>
          <w:szCs w:val="20"/>
        </w:rPr>
      </w:pPr>
    </w:p>
    <w:p w14:paraId="6533F5A8" w14:textId="64287FD2" w:rsidR="00DA4CF0" w:rsidRDefault="00DA4CF0" w:rsidP="00DA4CF0">
      <w:pPr>
        <w:pStyle w:val="Prrafodelista"/>
        <w:numPr>
          <w:ilvl w:val="0"/>
          <w:numId w:val="83"/>
        </w:numPr>
        <w:ind w:left="567" w:hanging="567"/>
        <w:jc w:val="both"/>
        <w:rPr>
          <w:rFonts w:ascii="Verdana" w:hAnsi="Verdana"/>
          <w:sz w:val="20"/>
          <w:szCs w:val="20"/>
        </w:rPr>
      </w:pPr>
      <w:r w:rsidRPr="00DA4CF0">
        <w:rPr>
          <w:rFonts w:ascii="Verdana" w:hAnsi="Verdana"/>
          <w:sz w:val="20"/>
          <w:szCs w:val="20"/>
        </w:rPr>
        <w:lastRenderedPageBreak/>
        <w:t xml:space="preserve">Homogeneidad: </w:t>
      </w:r>
      <w:r w:rsidR="00E85979">
        <w:rPr>
          <w:rFonts w:ascii="Verdana" w:hAnsi="Verdana"/>
          <w:sz w:val="20"/>
          <w:szCs w:val="20"/>
        </w:rPr>
        <w:t>l</w:t>
      </w:r>
      <w:r w:rsidRPr="00DA4CF0">
        <w:rPr>
          <w:rFonts w:ascii="Verdana" w:hAnsi="Verdana"/>
          <w:sz w:val="20"/>
          <w:szCs w:val="20"/>
        </w:rPr>
        <w:t>os elementos de la muestra objeto de estudio para la determinación de las comisiones deben tener características comunes de tipo cualitativo y cuantitativo. Además, deben escogerse cumpliendo supuestos de aleatoriedad e independencia.</w:t>
      </w:r>
    </w:p>
    <w:p w14:paraId="15640819" w14:textId="77777777" w:rsidR="00DA4CF0" w:rsidRPr="00DA4CF0" w:rsidRDefault="00DA4CF0" w:rsidP="00DA4CF0">
      <w:pPr>
        <w:pStyle w:val="Prrafodelista"/>
        <w:rPr>
          <w:rFonts w:ascii="Verdana" w:hAnsi="Verdana"/>
          <w:sz w:val="20"/>
          <w:szCs w:val="20"/>
        </w:rPr>
      </w:pPr>
    </w:p>
    <w:p w14:paraId="2BF7AC22" w14:textId="3D4F8BDF" w:rsidR="004A72FF" w:rsidRDefault="00DA4CF0" w:rsidP="00366937">
      <w:pPr>
        <w:pStyle w:val="Prrafodelista"/>
        <w:numPr>
          <w:ilvl w:val="0"/>
          <w:numId w:val="83"/>
        </w:numPr>
        <w:ind w:left="567" w:hanging="567"/>
        <w:jc w:val="both"/>
        <w:rPr>
          <w:rFonts w:ascii="Verdana" w:hAnsi="Verdana"/>
          <w:sz w:val="20"/>
          <w:szCs w:val="20"/>
        </w:rPr>
      </w:pPr>
      <w:r w:rsidRPr="00DA4CF0">
        <w:rPr>
          <w:rFonts w:ascii="Verdana" w:hAnsi="Verdana"/>
          <w:sz w:val="20"/>
          <w:szCs w:val="20"/>
        </w:rPr>
        <w:t xml:space="preserve">Representatividad: </w:t>
      </w:r>
      <w:r w:rsidR="00E85979">
        <w:rPr>
          <w:rFonts w:ascii="Verdana" w:hAnsi="Verdana"/>
          <w:sz w:val="20"/>
          <w:szCs w:val="20"/>
        </w:rPr>
        <w:t>e</w:t>
      </w:r>
      <w:r w:rsidRPr="00DA4CF0">
        <w:rPr>
          <w:rFonts w:ascii="Verdana" w:hAnsi="Verdana"/>
          <w:sz w:val="20"/>
          <w:szCs w:val="20"/>
        </w:rPr>
        <w:t>l tamaño de la muestra empleada para determinar las comisiones debe corresponder a un número objetivo de elementos de la población que garantice un nivel de significa</w:t>
      </w:r>
      <w:r w:rsidR="00984D0F">
        <w:rPr>
          <w:rFonts w:ascii="Verdana" w:hAnsi="Verdana"/>
          <w:sz w:val="20"/>
          <w:szCs w:val="20"/>
        </w:rPr>
        <w:t>ncia</w:t>
      </w:r>
      <w:r w:rsidRPr="00DA4CF0">
        <w:rPr>
          <w:rFonts w:ascii="Verdana" w:hAnsi="Verdana"/>
          <w:sz w:val="20"/>
          <w:szCs w:val="20"/>
        </w:rPr>
        <w:t xml:space="preserve"> razonable y cubra un período adecuado, de manera que el cálculo de los estimadores presente un bajo nivel de error.</w:t>
      </w:r>
    </w:p>
    <w:p w14:paraId="6F0929E6" w14:textId="77777777" w:rsidR="00D67C3D" w:rsidRPr="00D67C3D" w:rsidRDefault="00D67C3D" w:rsidP="00D67C3D">
      <w:pPr>
        <w:pStyle w:val="Prrafodelista"/>
        <w:rPr>
          <w:rFonts w:ascii="Verdana" w:hAnsi="Verdana"/>
          <w:sz w:val="20"/>
          <w:szCs w:val="20"/>
        </w:rPr>
      </w:pPr>
    </w:p>
    <w:p w14:paraId="064D664B" w14:textId="3BC6E6A4" w:rsidR="00F01EB0" w:rsidRPr="009852C8" w:rsidRDefault="00F01EB0" w:rsidP="00F01EB0">
      <w:pPr>
        <w:pStyle w:val="Prrafodelista"/>
        <w:numPr>
          <w:ilvl w:val="0"/>
          <w:numId w:val="6"/>
        </w:numPr>
        <w:ind w:left="567" w:hanging="283"/>
        <w:jc w:val="both"/>
        <w:rPr>
          <w:rFonts w:ascii="Verdana" w:hAnsi="Verdana"/>
          <w:b/>
          <w:bCs/>
          <w:sz w:val="20"/>
          <w:szCs w:val="20"/>
        </w:rPr>
      </w:pPr>
      <w:r>
        <w:rPr>
          <w:rFonts w:ascii="Verdana" w:hAnsi="Verdana"/>
          <w:b/>
          <w:bCs/>
          <w:sz w:val="20"/>
          <w:szCs w:val="20"/>
        </w:rPr>
        <w:t xml:space="preserve">Régimen para el cálculo de las reservas </w:t>
      </w:r>
      <w:r w:rsidR="00B1085A">
        <w:rPr>
          <w:rFonts w:ascii="Verdana" w:hAnsi="Verdana"/>
          <w:b/>
          <w:bCs/>
          <w:sz w:val="20"/>
          <w:szCs w:val="20"/>
        </w:rPr>
        <w:t>por administración de riesgo de garantías</w:t>
      </w:r>
    </w:p>
    <w:p w14:paraId="625A05D7" w14:textId="311EABC0" w:rsidR="00F01EB0" w:rsidRPr="0086035E" w:rsidRDefault="00F01EB0" w:rsidP="00F01EB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D67C3D">
        <w:rPr>
          <w:rFonts w:ascii="Verdana" w:hAnsi="Verdana"/>
          <w:sz w:val="20"/>
          <w:szCs w:val="20"/>
        </w:rPr>
        <w:t>8</w:t>
      </w:r>
      <w:r w:rsidR="00CD417D">
        <w:rPr>
          <w:rFonts w:ascii="Verdana" w:hAnsi="Verdana"/>
          <w:sz w:val="20"/>
          <w:szCs w:val="20"/>
        </w:rPr>
        <w:t>3</w:t>
      </w:r>
      <w:r w:rsidRPr="0086035E">
        <w:rPr>
          <w:rFonts w:ascii="Verdana" w:hAnsi="Verdana"/>
          <w:sz w:val="20"/>
          <w:szCs w:val="20"/>
        </w:rPr>
        <w:t>.</w:t>
      </w:r>
    </w:p>
    <w:p w14:paraId="768D62E5" w14:textId="6659CD38" w:rsidR="009E61B0" w:rsidRDefault="00896F84" w:rsidP="00F01EB0">
      <w:pPr>
        <w:jc w:val="both"/>
        <w:rPr>
          <w:rFonts w:ascii="Verdana" w:hAnsi="Verdana"/>
          <w:sz w:val="20"/>
          <w:szCs w:val="20"/>
        </w:rPr>
      </w:pPr>
      <w:r w:rsidRPr="00896F84">
        <w:rPr>
          <w:rFonts w:ascii="Verdana" w:hAnsi="Verdana"/>
          <w:sz w:val="20"/>
          <w:szCs w:val="20"/>
        </w:rPr>
        <w:t>La constitución de reservas por parte del FNG debe sujetarse a las siguientes reglas:</w:t>
      </w:r>
      <w:r w:rsidR="00F01EB0" w:rsidRPr="009E61B0">
        <w:rPr>
          <w:rFonts w:ascii="Verdana" w:hAnsi="Verdana"/>
          <w:sz w:val="20"/>
          <w:szCs w:val="20"/>
        </w:rPr>
        <w:t xml:space="preserve"> </w:t>
      </w:r>
    </w:p>
    <w:p w14:paraId="7F143917" w14:textId="41701062" w:rsidR="00D67C3D" w:rsidRPr="0086035E" w:rsidRDefault="00D67C3D" w:rsidP="00D67C3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28</w:t>
      </w:r>
      <w:r w:rsidR="00CD417D">
        <w:rPr>
          <w:rFonts w:ascii="Verdana" w:hAnsi="Verdana"/>
          <w:sz w:val="20"/>
          <w:szCs w:val="20"/>
        </w:rPr>
        <w:t>4</w:t>
      </w:r>
      <w:r w:rsidRPr="0086035E">
        <w:rPr>
          <w:rFonts w:ascii="Verdana" w:hAnsi="Verdana"/>
          <w:sz w:val="20"/>
          <w:szCs w:val="20"/>
        </w:rPr>
        <w:t>.</w:t>
      </w:r>
    </w:p>
    <w:p w14:paraId="45DF1FC4" w14:textId="42870749" w:rsidR="00D67C3D" w:rsidRDefault="00A63620" w:rsidP="00D67C3D">
      <w:pPr>
        <w:jc w:val="both"/>
        <w:rPr>
          <w:rFonts w:ascii="Verdana" w:hAnsi="Verdana"/>
          <w:sz w:val="20"/>
          <w:szCs w:val="20"/>
        </w:rPr>
      </w:pPr>
      <w:r w:rsidRPr="00A63620">
        <w:rPr>
          <w:rFonts w:ascii="Verdana" w:hAnsi="Verdana"/>
          <w:sz w:val="20"/>
          <w:szCs w:val="20"/>
        </w:rPr>
        <w:t xml:space="preserve">El FNG debe constituir reservas técnicas, respaldadas en cálculos actuariales, para cada uno de los productos y negocios de garantía. </w:t>
      </w:r>
    </w:p>
    <w:p w14:paraId="67C2F558" w14:textId="18E1E2F9" w:rsidR="00D67C3D" w:rsidRPr="0086035E" w:rsidRDefault="00D67C3D" w:rsidP="00D67C3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28</w:t>
      </w:r>
      <w:r w:rsidR="00CD417D">
        <w:rPr>
          <w:rFonts w:ascii="Verdana" w:hAnsi="Verdana"/>
          <w:sz w:val="20"/>
          <w:szCs w:val="20"/>
        </w:rPr>
        <w:t>5</w:t>
      </w:r>
      <w:r w:rsidRPr="0086035E">
        <w:rPr>
          <w:rFonts w:ascii="Verdana" w:hAnsi="Verdana"/>
          <w:sz w:val="20"/>
          <w:szCs w:val="20"/>
        </w:rPr>
        <w:t>.</w:t>
      </w:r>
    </w:p>
    <w:p w14:paraId="298B3702" w14:textId="2220D77D" w:rsidR="008A3510" w:rsidRDefault="008A3510" w:rsidP="008A3510">
      <w:pPr>
        <w:jc w:val="both"/>
        <w:rPr>
          <w:rFonts w:ascii="Verdana" w:hAnsi="Verdana"/>
          <w:sz w:val="20"/>
          <w:szCs w:val="20"/>
        </w:rPr>
      </w:pPr>
      <w:r w:rsidRPr="008A3510">
        <w:rPr>
          <w:rFonts w:ascii="Verdana" w:hAnsi="Verdana"/>
          <w:sz w:val="20"/>
          <w:szCs w:val="20"/>
        </w:rPr>
        <w:t>El cálculo de las reservas técnicas debe ser consistente con la nota técnica presentada a la SFC para el cálculo de la comisión. En este sentido, para cada modalidad de garantía se debe usar el mismo interés técnico y las mismas funciones de distribución empleadas para el cálculo de la comisión.</w:t>
      </w:r>
    </w:p>
    <w:p w14:paraId="5CCA1D5E" w14:textId="59EEABDB" w:rsidR="008A3510" w:rsidRPr="009852C8" w:rsidRDefault="008A3510" w:rsidP="008A3510">
      <w:pPr>
        <w:pStyle w:val="Prrafodelista"/>
        <w:numPr>
          <w:ilvl w:val="0"/>
          <w:numId w:val="6"/>
        </w:numPr>
        <w:ind w:left="567" w:hanging="283"/>
        <w:jc w:val="both"/>
        <w:rPr>
          <w:rFonts w:ascii="Verdana" w:hAnsi="Verdana"/>
          <w:b/>
          <w:bCs/>
          <w:sz w:val="20"/>
          <w:szCs w:val="20"/>
        </w:rPr>
      </w:pPr>
      <w:r>
        <w:rPr>
          <w:rFonts w:ascii="Verdana" w:hAnsi="Verdana"/>
          <w:b/>
          <w:bCs/>
          <w:sz w:val="20"/>
          <w:szCs w:val="20"/>
        </w:rPr>
        <w:t>Componentes de los modelos</w:t>
      </w:r>
    </w:p>
    <w:p w14:paraId="50D59097" w14:textId="5660C736" w:rsidR="008A3510" w:rsidRPr="0086035E" w:rsidRDefault="008A3510" w:rsidP="008A351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E101CC">
        <w:rPr>
          <w:rFonts w:ascii="Verdana" w:hAnsi="Verdana"/>
          <w:sz w:val="20"/>
          <w:szCs w:val="20"/>
        </w:rPr>
        <w:t>8</w:t>
      </w:r>
      <w:r w:rsidR="00CD417D">
        <w:rPr>
          <w:rFonts w:ascii="Verdana" w:hAnsi="Verdana"/>
          <w:sz w:val="20"/>
          <w:szCs w:val="20"/>
        </w:rPr>
        <w:t>6</w:t>
      </w:r>
      <w:r w:rsidRPr="0086035E">
        <w:rPr>
          <w:rFonts w:ascii="Verdana" w:hAnsi="Verdana"/>
          <w:sz w:val="20"/>
          <w:szCs w:val="20"/>
        </w:rPr>
        <w:t>.</w:t>
      </w:r>
    </w:p>
    <w:p w14:paraId="0D53BC3C" w14:textId="4E081D73" w:rsidR="00F01EB0" w:rsidRDefault="0001256D" w:rsidP="008A3510">
      <w:pPr>
        <w:jc w:val="both"/>
        <w:rPr>
          <w:rFonts w:ascii="Verdana" w:hAnsi="Verdana"/>
          <w:sz w:val="20"/>
          <w:szCs w:val="20"/>
        </w:rPr>
      </w:pPr>
      <w:r>
        <w:rPr>
          <w:rFonts w:ascii="Verdana" w:hAnsi="Verdana"/>
          <w:sz w:val="20"/>
          <w:szCs w:val="20"/>
        </w:rPr>
        <w:t>Base de datos:</w:t>
      </w:r>
      <w:r w:rsidR="000E5DC8">
        <w:rPr>
          <w:rFonts w:ascii="Verdana" w:hAnsi="Verdana"/>
          <w:sz w:val="20"/>
          <w:szCs w:val="20"/>
        </w:rPr>
        <w:t xml:space="preserve"> e</w:t>
      </w:r>
      <w:r w:rsidR="000E5DC8" w:rsidRPr="000E5DC8">
        <w:rPr>
          <w:rFonts w:ascii="Verdana" w:hAnsi="Verdana"/>
          <w:sz w:val="20"/>
          <w:szCs w:val="20"/>
        </w:rPr>
        <w:t xml:space="preserve">l FNG debe contar con bases de datos que incorporen información histórica al menos desde </w:t>
      </w:r>
      <w:r w:rsidR="00C664C0">
        <w:rPr>
          <w:rFonts w:ascii="Verdana" w:hAnsi="Verdana"/>
          <w:sz w:val="20"/>
          <w:szCs w:val="20"/>
        </w:rPr>
        <w:t xml:space="preserve">el año </w:t>
      </w:r>
      <w:r w:rsidR="000E5DC8" w:rsidRPr="000E5DC8">
        <w:rPr>
          <w:rFonts w:ascii="Verdana" w:hAnsi="Verdana"/>
          <w:sz w:val="20"/>
          <w:szCs w:val="20"/>
        </w:rPr>
        <w:t>2</w:t>
      </w:r>
      <w:r w:rsidR="00C664C0">
        <w:rPr>
          <w:rFonts w:ascii="Verdana" w:hAnsi="Verdana"/>
          <w:sz w:val="20"/>
          <w:szCs w:val="20"/>
        </w:rPr>
        <w:t>.</w:t>
      </w:r>
      <w:r w:rsidR="000E5DC8" w:rsidRPr="000E5DC8">
        <w:rPr>
          <w:rFonts w:ascii="Verdana" w:hAnsi="Verdana"/>
          <w:sz w:val="20"/>
          <w:szCs w:val="20"/>
        </w:rPr>
        <w:t>000. En todo caso, los cálculos de las reservas y las comisiones deben fundamentarse en bases de datos que incorporen información histórica pertinente de por lo menos los 6 años inmediatamente anteriores a la fecha de cálculo de la reserva. En el momento en que el FNG presente las metodologías de cálculo de las reservas para no objeción por parte de la SFC, la información base de este análisis debe estar actualizada.</w:t>
      </w:r>
    </w:p>
    <w:p w14:paraId="3BC661F6" w14:textId="4BE5A07C" w:rsidR="008E0300" w:rsidRPr="0086035E" w:rsidRDefault="008E0300" w:rsidP="008E030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E101CC">
        <w:rPr>
          <w:rFonts w:ascii="Verdana" w:hAnsi="Verdana"/>
          <w:sz w:val="20"/>
          <w:szCs w:val="20"/>
        </w:rPr>
        <w:t>8</w:t>
      </w:r>
      <w:r w:rsidR="00CD417D">
        <w:rPr>
          <w:rFonts w:ascii="Verdana" w:hAnsi="Verdana"/>
          <w:sz w:val="20"/>
          <w:szCs w:val="20"/>
        </w:rPr>
        <w:t>7</w:t>
      </w:r>
      <w:r w:rsidRPr="0086035E">
        <w:rPr>
          <w:rFonts w:ascii="Verdana" w:hAnsi="Verdana"/>
          <w:sz w:val="20"/>
          <w:szCs w:val="20"/>
        </w:rPr>
        <w:t>.</w:t>
      </w:r>
    </w:p>
    <w:p w14:paraId="401D36A6" w14:textId="7393D85B" w:rsidR="008E0300" w:rsidRDefault="00480DF0" w:rsidP="00E101CC">
      <w:pPr>
        <w:jc w:val="both"/>
        <w:rPr>
          <w:rFonts w:ascii="Verdana" w:hAnsi="Verdana"/>
          <w:b/>
          <w:bCs/>
          <w:sz w:val="20"/>
          <w:szCs w:val="20"/>
        </w:rPr>
      </w:pPr>
      <w:r>
        <w:rPr>
          <w:rFonts w:ascii="Verdana" w:hAnsi="Verdana"/>
          <w:sz w:val="20"/>
          <w:szCs w:val="20"/>
        </w:rPr>
        <w:t xml:space="preserve">Cálculo de las reservas técnicas: </w:t>
      </w:r>
      <w:r w:rsidR="00F40D2F">
        <w:rPr>
          <w:rFonts w:ascii="Verdana" w:hAnsi="Verdana"/>
          <w:sz w:val="20"/>
          <w:szCs w:val="20"/>
        </w:rPr>
        <w:t xml:space="preserve">las </w:t>
      </w:r>
      <w:r w:rsidR="00E101CC" w:rsidRPr="00E101CC">
        <w:rPr>
          <w:rFonts w:ascii="Verdana" w:hAnsi="Verdana"/>
          <w:sz w:val="20"/>
          <w:szCs w:val="20"/>
        </w:rPr>
        <w:t>reservas pueden ser calculadas de manera prospectiva o retrospectiva. Cualquiera sea la metodología utilizada estas deben ser suficientes para cubrir los siniestros que se presenten.</w:t>
      </w:r>
    </w:p>
    <w:p w14:paraId="6D711527" w14:textId="1FD99ACF" w:rsidR="0001256D" w:rsidRPr="0086035E" w:rsidRDefault="0001256D" w:rsidP="0001256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480DF0">
        <w:rPr>
          <w:rFonts w:ascii="Verdana" w:hAnsi="Verdana"/>
          <w:sz w:val="20"/>
          <w:szCs w:val="20"/>
        </w:rPr>
        <w:t>8</w:t>
      </w:r>
      <w:r w:rsidR="00CD417D">
        <w:rPr>
          <w:rFonts w:ascii="Verdana" w:hAnsi="Verdana"/>
          <w:sz w:val="20"/>
          <w:szCs w:val="20"/>
        </w:rPr>
        <w:t>8</w:t>
      </w:r>
      <w:r w:rsidRPr="0086035E">
        <w:rPr>
          <w:rFonts w:ascii="Verdana" w:hAnsi="Verdana"/>
          <w:sz w:val="20"/>
          <w:szCs w:val="20"/>
        </w:rPr>
        <w:t>.</w:t>
      </w:r>
    </w:p>
    <w:p w14:paraId="2645649E" w14:textId="0C70ED41" w:rsidR="0001256D" w:rsidRDefault="00F10A7B" w:rsidP="0001256D">
      <w:pPr>
        <w:jc w:val="both"/>
        <w:rPr>
          <w:rFonts w:ascii="Verdana" w:hAnsi="Verdana"/>
          <w:sz w:val="20"/>
          <w:szCs w:val="20"/>
        </w:rPr>
      </w:pPr>
      <w:r w:rsidRPr="00F10A7B">
        <w:rPr>
          <w:rFonts w:ascii="Verdana" w:hAnsi="Verdana"/>
          <w:sz w:val="20"/>
          <w:szCs w:val="20"/>
        </w:rPr>
        <w:t>Las variables que participan en el cálculo de las reservas son:</w:t>
      </w:r>
      <w:r w:rsidR="000E5DC8">
        <w:rPr>
          <w:rFonts w:ascii="Verdana" w:hAnsi="Verdana"/>
          <w:sz w:val="20"/>
          <w:szCs w:val="20"/>
        </w:rPr>
        <w:t xml:space="preserve"> </w:t>
      </w:r>
    </w:p>
    <w:p w14:paraId="3DC35184" w14:textId="77777777" w:rsidR="00A70AAD" w:rsidRDefault="00A70AAD" w:rsidP="00A70AAD">
      <w:pPr>
        <w:pStyle w:val="Prrafodelista"/>
        <w:numPr>
          <w:ilvl w:val="0"/>
          <w:numId w:val="84"/>
        </w:numPr>
        <w:ind w:left="567" w:hanging="567"/>
        <w:jc w:val="both"/>
        <w:rPr>
          <w:rFonts w:ascii="Verdana" w:hAnsi="Verdana"/>
          <w:sz w:val="20"/>
          <w:szCs w:val="20"/>
        </w:rPr>
      </w:pPr>
      <w:r w:rsidRPr="00A70AAD">
        <w:rPr>
          <w:rFonts w:ascii="Verdana" w:hAnsi="Verdana"/>
          <w:sz w:val="20"/>
          <w:szCs w:val="20"/>
        </w:rPr>
        <w:t>El tiempo t transcurrido entre el inicio del otorgamiento de la garantía y el cálculo de la reserva.</w:t>
      </w:r>
    </w:p>
    <w:p w14:paraId="6CE580FF" w14:textId="77777777" w:rsidR="00A70AAD" w:rsidRDefault="00A70AAD" w:rsidP="00A70AAD">
      <w:pPr>
        <w:pStyle w:val="Prrafodelista"/>
        <w:ind w:left="567"/>
        <w:jc w:val="both"/>
        <w:rPr>
          <w:rFonts w:ascii="Verdana" w:hAnsi="Verdana"/>
          <w:sz w:val="20"/>
          <w:szCs w:val="20"/>
        </w:rPr>
      </w:pPr>
    </w:p>
    <w:p w14:paraId="3B12C4BD" w14:textId="77777777" w:rsidR="00A70AAD" w:rsidRDefault="00A70AAD" w:rsidP="00A70AAD">
      <w:pPr>
        <w:pStyle w:val="Prrafodelista"/>
        <w:numPr>
          <w:ilvl w:val="0"/>
          <w:numId w:val="84"/>
        </w:numPr>
        <w:ind w:left="567" w:hanging="567"/>
        <w:jc w:val="both"/>
        <w:rPr>
          <w:rFonts w:ascii="Verdana" w:hAnsi="Verdana"/>
          <w:sz w:val="20"/>
          <w:szCs w:val="20"/>
        </w:rPr>
      </w:pPr>
      <w:r w:rsidRPr="00A70AAD">
        <w:rPr>
          <w:rFonts w:ascii="Verdana" w:hAnsi="Verdana"/>
          <w:sz w:val="20"/>
          <w:szCs w:val="20"/>
        </w:rPr>
        <w:t>El valor esperado de la pérdida en el instante t.</w:t>
      </w:r>
    </w:p>
    <w:p w14:paraId="5A126644" w14:textId="77777777" w:rsidR="00A70AAD" w:rsidRPr="00A70AAD" w:rsidRDefault="00A70AAD" w:rsidP="00A70AAD">
      <w:pPr>
        <w:pStyle w:val="Prrafodelista"/>
        <w:rPr>
          <w:rFonts w:ascii="Verdana" w:hAnsi="Verdana"/>
          <w:sz w:val="20"/>
          <w:szCs w:val="20"/>
        </w:rPr>
      </w:pPr>
    </w:p>
    <w:p w14:paraId="2E9D9E7F" w14:textId="77777777" w:rsidR="00A70AAD" w:rsidRDefault="00A70AAD" w:rsidP="00A70AAD">
      <w:pPr>
        <w:pStyle w:val="Prrafodelista"/>
        <w:numPr>
          <w:ilvl w:val="0"/>
          <w:numId w:val="84"/>
        </w:numPr>
        <w:ind w:left="567" w:hanging="567"/>
        <w:jc w:val="both"/>
        <w:rPr>
          <w:rFonts w:ascii="Verdana" w:hAnsi="Verdana"/>
          <w:sz w:val="20"/>
          <w:szCs w:val="20"/>
        </w:rPr>
      </w:pPr>
      <w:r w:rsidRPr="00A70AAD">
        <w:rPr>
          <w:rFonts w:ascii="Verdana" w:hAnsi="Verdana"/>
          <w:sz w:val="20"/>
          <w:szCs w:val="20"/>
        </w:rPr>
        <w:t>La comisión pactada en el instante t = 0.</w:t>
      </w:r>
    </w:p>
    <w:p w14:paraId="6FD63996" w14:textId="77777777" w:rsidR="00A70AAD" w:rsidRPr="00A70AAD" w:rsidRDefault="00A70AAD" w:rsidP="00A70AAD">
      <w:pPr>
        <w:pStyle w:val="Prrafodelista"/>
        <w:rPr>
          <w:rFonts w:ascii="Verdana" w:hAnsi="Verdana"/>
          <w:sz w:val="20"/>
          <w:szCs w:val="20"/>
        </w:rPr>
      </w:pPr>
    </w:p>
    <w:p w14:paraId="3842A853" w14:textId="1C601F4D" w:rsidR="00A70AAD" w:rsidRPr="00A70AAD" w:rsidRDefault="00A70AAD" w:rsidP="00A70AAD">
      <w:pPr>
        <w:pStyle w:val="Prrafodelista"/>
        <w:numPr>
          <w:ilvl w:val="0"/>
          <w:numId w:val="84"/>
        </w:numPr>
        <w:ind w:left="567" w:hanging="567"/>
        <w:jc w:val="both"/>
        <w:rPr>
          <w:rFonts w:ascii="Verdana" w:hAnsi="Verdana"/>
          <w:sz w:val="20"/>
          <w:szCs w:val="20"/>
        </w:rPr>
      </w:pPr>
      <w:r w:rsidRPr="00A70AAD">
        <w:rPr>
          <w:rFonts w:ascii="Verdana" w:hAnsi="Verdana"/>
          <w:sz w:val="20"/>
          <w:szCs w:val="20"/>
        </w:rPr>
        <w:t>La exposición en el instante t.</w:t>
      </w:r>
    </w:p>
    <w:p w14:paraId="70D13573" w14:textId="094E5935" w:rsidR="0001256D" w:rsidRPr="0086035E" w:rsidRDefault="0001256D" w:rsidP="0001256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004C6E">
        <w:rPr>
          <w:rFonts w:ascii="Verdana" w:hAnsi="Verdana"/>
          <w:sz w:val="20"/>
          <w:szCs w:val="20"/>
        </w:rPr>
        <w:t>8</w:t>
      </w:r>
      <w:r w:rsidR="00CD417D">
        <w:rPr>
          <w:rFonts w:ascii="Verdana" w:hAnsi="Verdana"/>
          <w:sz w:val="20"/>
          <w:szCs w:val="20"/>
        </w:rPr>
        <w:t>9</w:t>
      </w:r>
      <w:r w:rsidRPr="0086035E">
        <w:rPr>
          <w:rFonts w:ascii="Verdana" w:hAnsi="Verdana"/>
          <w:sz w:val="20"/>
          <w:szCs w:val="20"/>
        </w:rPr>
        <w:t>.</w:t>
      </w:r>
    </w:p>
    <w:p w14:paraId="24FC5F9C" w14:textId="6B6EF916" w:rsidR="0001256D" w:rsidRDefault="0008239F" w:rsidP="0001256D">
      <w:pPr>
        <w:jc w:val="both"/>
        <w:rPr>
          <w:rFonts w:ascii="Verdana" w:hAnsi="Verdana"/>
          <w:sz w:val="20"/>
          <w:szCs w:val="20"/>
        </w:rPr>
      </w:pPr>
      <w:r w:rsidRPr="0008239F">
        <w:rPr>
          <w:rFonts w:ascii="Verdana" w:hAnsi="Verdana"/>
          <w:sz w:val="20"/>
          <w:szCs w:val="20"/>
        </w:rPr>
        <w:t>Por lo tanto, el modelo o modelos que se adopten deben permitir, respecto de cada modalidad, determinar los componentes de la pérdida esperada de acuerdo con los siguientes parámetros:</w:t>
      </w:r>
    </w:p>
    <w:p w14:paraId="47E73E2B" w14:textId="77777777" w:rsidR="00E379DB" w:rsidRDefault="00E379DB" w:rsidP="00E379DB">
      <w:pPr>
        <w:pStyle w:val="Prrafodelista"/>
        <w:numPr>
          <w:ilvl w:val="0"/>
          <w:numId w:val="85"/>
        </w:numPr>
        <w:ind w:left="567" w:hanging="567"/>
        <w:jc w:val="both"/>
        <w:rPr>
          <w:rFonts w:ascii="Verdana" w:hAnsi="Verdana"/>
          <w:sz w:val="20"/>
          <w:szCs w:val="20"/>
        </w:rPr>
      </w:pPr>
      <w:r w:rsidRPr="00E379DB">
        <w:rPr>
          <w:rFonts w:ascii="Verdana" w:hAnsi="Verdana"/>
          <w:sz w:val="20"/>
          <w:szCs w:val="20"/>
        </w:rPr>
        <w:t>El siniestro para el FNG, sin perjuicio de que la entidad establezca criterios adicionales más exigentes, es el evento en el cual el intermediario realiza el reclamo de la garantía, previo el cumplimiento de los términos y las condiciones establecidas para su pago.</w:t>
      </w:r>
    </w:p>
    <w:p w14:paraId="3EE02A43" w14:textId="77777777" w:rsidR="00E379DB" w:rsidRDefault="00E379DB" w:rsidP="00E379DB">
      <w:pPr>
        <w:pStyle w:val="Prrafodelista"/>
        <w:ind w:left="567"/>
        <w:jc w:val="both"/>
        <w:rPr>
          <w:rFonts w:ascii="Verdana" w:hAnsi="Verdana"/>
          <w:sz w:val="20"/>
          <w:szCs w:val="20"/>
        </w:rPr>
      </w:pPr>
    </w:p>
    <w:p w14:paraId="6610465B" w14:textId="77777777" w:rsidR="00E379DB" w:rsidRDefault="00E379DB" w:rsidP="00E379DB">
      <w:pPr>
        <w:pStyle w:val="Prrafodelista"/>
        <w:numPr>
          <w:ilvl w:val="0"/>
          <w:numId w:val="85"/>
        </w:numPr>
        <w:ind w:left="567" w:hanging="567"/>
        <w:jc w:val="both"/>
        <w:rPr>
          <w:rFonts w:ascii="Verdana" w:hAnsi="Verdana"/>
          <w:sz w:val="20"/>
          <w:szCs w:val="20"/>
        </w:rPr>
      </w:pPr>
      <w:r w:rsidRPr="00E379DB">
        <w:rPr>
          <w:rFonts w:ascii="Verdana" w:hAnsi="Verdana"/>
          <w:sz w:val="20"/>
          <w:szCs w:val="20"/>
        </w:rPr>
        <w:t>La reserva de administración del riesgo de garantía. Corresponde al valor monetario que debe mantener el FNG disponible para cubrir los siniestros que se presenten.</w:t>
      </w:r>
    </w:p>
    <w:p w14:paraId="1967FBC2" w14:textId="77777777" w:rsidR="00E379DB" w:rsidRPr="00E379DB" w:rsidRDefault="00E379DB" w:rsidP="00E379DB">
      <w:pPr>
        <w:pStyle w:val="Prrafodelista"/>
        <w:rPr>
          <w:rFonts w:ascii="Verdana" w:hAnsi="Verdana"/>
          <w:sz w:val="20"/>
          <w:szCs w:val="20"/>
        </w:rPr>
      </w:pPr>
    </w:p>
    <w:p w14:paraId="0F92F0E8" w14:textId="77777777" w:rsidR="00E379DB" w:rsidRDefault="00E379DB" w:rsidP="00E379DB">
      <w:pPr>
        <w:pStyle w:val="Prrafodelista"/>
        <w:numPr>
          <w:ilvl w:val="0"/>
          <w:numId w:val="85"/>
        </w:numPr>
        <w:ind w:left="567" w:hanging="567"/>
        <w:jc w:val="both"/>
        <w:rPr>
          <w:rFonts w:ascii="Verdana" w:hAnsi="Verdana"/>
          <w:sz w:val="20"/>
          <w:szCs w:val="20"/>
        </w:rPr>
      </w:pPr>
      <w:r w:rsidRPr="00E379DB">
        <w:rPr>
          <w:rFonts w:ascii="Verdana" w:hAnsi="Verdana"/>
          <w:sz w:val="20"/>
          <w:szCs w:val="20"/>
        </w:rPr>
        <w:lastRenderedPageBreak/>
        <w:t>El valor de la exposición. En términos generales esta exposición debe ser el porcentaje garantizado del saldo del crédito en el instante t.</w:t>
      </w:r>
    </w:p>
    <w:p w14:paraId="1330ADD4" w14:textId="77777777" w:rsidR="00E379DB" w:rsidRPr="00E379DB" w:rsidRDefault="00E379DB" w:rsidP="00E379DB">
      <w:pPr>
        <w:pStyle w:val="Prrafodelista"/>
        <w:rPr>
          <w:rFonts w:ascii="Verdana" w:hAnsi="Verdana"/>
          <w:sz w:val="20"/>
          <w:szCs w:val="20"/>
        </w:rPr>
      </w:pPr>
    </w:p>
    <w:p w14:paraId="54C2F83B" w14:textId="77777777" w:rsidR="00E379DB" w:rsidRDefault="00E379DB" w:rsidP="00E379DB">
      <w:pPr>
        <w:pStyle w:val="Prrafodelista"/>
        <w:numPr>
          <w:ilvl w:val="0"/>
          <w:numId w:val="85"/>
        </w:numPr>
        <w:ind w:left="567" w:hanging="567"/>
        <w:jc w:val="both"/>
        <w:rPr>
          <w:rFonts w:ascii="Verdana" w:hAnsi="Verdana"/>
          <w:sz w:val="20"/>
          <w:szCs w:val="20"/>
        </w:rPr>
      </w:pPr>
      <w:r w:rsidRPr="00E379DB">
        <w:rPr>
          <w:rFonts w:ascii="Verdana" w:hAnsi="Verdana"/>
          <w:sz w:val="20"/>
          <w:szCs w:val="20"/>
        </w:rPr>
        <w:t>La severidad del siniestro, es decir, el deterioro económico en que incurriría la entidad en caso de que se materialice el siniestro.</w:t>
      </w:r>
    </w:p>
    <w:p w14:paraId="56B9CF44" w14:textId="77777777" w:rsidR="00E379DB" w:rsidRPr="00E379DB" w:rsidRDefault="00E379DB" w:rsidP="00E379DB">
      <w:pPr>
        <w:pStyle w:val="Prrafodelista"/>
        <w:rPr>
          <w:rFonts w:ascii="Verdana" w:hAnsi="Verdana"/>
          <w:sz w:val="20"/>
          <w:szCs w:val="20"/>
        </w:rPr>
      </w:pPr>
    </w:p>
    <w:p w14:paraId="4C22E6A8" w14:textId="77777777" w:rsidR="00E379DB" w:rsidRDefault="00E379DB" w:rsidP="00E379DB">
      <w:pPr>
        <w:pStyle w:val="Prrafodelista"/>
        <w:numPr>
          <w:ilvl w:val="0"/>
          <w:numId w:val="85"/>
        </w:numPr>
        <w:ind w:left="567" w:hanging="567"/>
        <w:jc w:val="both"/>
        <w:rPr>
          <w:rFonts w:ascii="Verdana" w:hAnsi="Verdana"/>
          <w:sz w:val="20"/>
          <w:szCs w:val="20"/>
        </w:rPr>
      </w:pPr>
      <w:r w:rsidRPr="00E379DB">
        <w:rPr>
          <w:rFonts w:ascii="Verdana" w:hAnsi="Verdana"/>
          <w:sz w:val="20"/>
          <w:szCs w:val="20"/>
        </w:rPr>
        <w:t>El horizonte de tiempo, el cual se refiere al plazo para el cual se deben calcular las pérdidas esperadas de acuerdo con las condiciones contractuales de la garantía.</w:t>
      </w:r>
    </w:p>
    <w:p w14:paraId="71F7A2CE" w14:textId="77777777" w:rsidR="00E379DB" w:rsidRPr="00E379DB" w:rsidRDefault="00E379DB" w:rsidP="00E379DB">
      <w:pPr>
        <w:pStyle w:val="Prrafodelista"/>
        <w:rPr>
          <w:rFonts w:ascii="Verdana" w:hAnsi="Verdana"/>
          <w:sz w:val="20"/>
          <w:szCs w:val="20"/>
        </w:rPr>
      </w:pPr>
    </w:p>
    <w:p w14:paraId="60DDA91F" w14:textId="77777777" w:rsidR="00E379DB" w:rsidRDefault="00E379DB" w:rsidP="00E379DB">
      <w:pPr>
        <w:pStyle w:val="Prrafodelista"/>
        <w:numPr>
          <w:ilvl w:val="0"/>
          <w:numId w:val="85"/>
        </w:numPr>
        <w:ind w:left="567" w:hanging="567"/>
        <w:jc w:val="both"/>
        <w:rPr>
          <w:rFonts w:ascii="Verdana" w:hAnsi="Verdana"/>
          <w:sz w:val="20"/>
          <w:szCs w:val="20"/>
        </w:rPr>
      </w:pPr>
      <w:r w:rsidRPr="00E379DB">
        <w:rPr>
          <w:rFonts w:ascii="Verdana" w:hAnsi="Verdana"/>
          <w:sz w:val="20"/>
          <w:szCs w:val="20"/>
        </w:rPr>
        <w:t>El período de observación. Este parámetro determina el tiempo de información que se utilizará para el cálculo y ajuste del modelo. se considera el uso de información en un intervalo mínimo de 6 años.</w:t>
      </w:r>
    </w:p>
    <w:p w14:paraId="32ADFA5B" w14:textId="77777777" w:rsidR="00E379DB" w:rsidRPr="00E379DB" w:rsidRDefault="00E379DB" w:rsidP="00E379DB">
      <w:pPr>
        <w:pStyle w:val="Prrafodelista"/>
        <w:rPr>
          <w:rFonts w:ascii="Verdana" w:hAnsi="Verdana"/>
          <w:sz w:val="20"/>
          <w:szCs w:val="20"/>
        </w:rPr>
      </w:pPr>
    </w:p>
    <w:p w14:paraId="6A9D4891" w14:textId="5E93A2E9" w:rsidR="0008239F" w:rsidRPr="00E379DB" w:rsidRDefault="00E379DB" w:rsidP="00E379DB">
      <w:pPr>
        <w:pStyle w:val="Prrafodelista"/>
        <w:numPr>
          <w:ilvl w:val="0"/>
          <w:numId w:val="85"/>
        </w:numPr>
        <w:ind w:left="567" w:hanging="567"/>
        <w:jc w:val="both"/>
        <w:rPr>
          <w:rFonts w:ascii="Verdana" w:hAnsi="Verdana"/>
          <w:sz w:val="20"/>
          <w:szCs w:val="20"/>
        </w:rPr>
      </w:pPr>
      <w:r w:rsidRPr="00E379DB">
        <w:rPr>
          <w:rFonts w:ascii="Verdana" w:hAnsi="Verdana"/>
          <w:sz w:val="20"/>
          <w:szCs w:val="20"/>
        </w:rPr>
        <w:t>El nivel de confianza. Teniendo en cuenta que como resultado de los modelos se obtiene una distribución de las pérdidas, se refiere al percentil sobre esta distribución en que se tomará el valor de la pérdida esperada.</w:t>
      </w:r>
    </w:p>
    <w:p w14:paraId="6AA1E7AC" w14:textId="7E731720" w:rsidR="0001256D" w:rsidRPr="0086035E" w:rsidRDefault="0001256D" w:rsidP="0001256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CD417D">
        <w:rPr>
          <w:rFonts w:ascii="Verdana" w:hAnsi="Verdana"/>
          <w:sz w:val="20"/>
          <w:szCs w:val="20"/>
        </w:rPr>
        <w:t>90</w:t>
      </w:r>
      <w:r w:rsidRPr="0086035E">
        <w:rPr>
          <w:rFonts w:ascii="Verdana" w:hAnsi="Verdana"/>
          <w:sz w:val="20"/>
          <w:szCs w:val="20"/>
        </w:rPr>
        <w:t>.</w:t>
      </w:r>
    </w:p>
    <w:p w14:paraId="60419D9B" w14:textId="4AAE4F80" w:rsidR="0001256D" w:rsidRDefault="00305578" w:rsidP="0001256D">
      <w:pPr>
        <w:jc w:val="both"/>
        <w:rPr>
          <w:rFonts w:ascii="Verdana" w:hAnsi="Verdana"/>
          <w:b/>
          <w:bCs/>
          <w:sz w:val="20"/>
          <w:szCs w:val="20"/>
        </w:rPr>
      </w:pPr>
      <w:r w:rsidRPr="00305578">
        <w:rPr>
          <w:rFonts w:ascii="Verdana" w:hAnsi="Verdana"/>
          <w:sz w:val="20"/>
          <w:szCs w:val="20"/>
        </w:rPr>
        <w:t>Con el fin de que se preserve la calidad de las metodologías para medición de las reservas, estas deben ser sometidas a pruebas de ajuste y pruebas de esfuerzo con una periodicidad mínima de un año. En consecuencia, con dichas evaluaciones, tales metodologías deben ser calibradas con la misma periodicidad</w:t>
      </w:r>
      <w:r w:rsidR="00475F35">
        <w:rPr>
          <w:rFonts w:ascii="Verdana" w:hAnsi="Verdana"/>
          <w:sz w:val="20"/>
          <w:szCs w:val="20"/>
        </w:rPr>
        <w:t>.</w:t>
      </w:r>
      <w:r w:rsidR="0001256D">
        <w:rPr>
          <w:rFonts w:ascii="Verdana" w:hAnsi="Verdana"/>
          <w:sz w:val="20"/>
          <w:szCs w:val="20"/>
        </w:rPr>
        <w:t xml:space="preserve"> </w:t>
      </w:r>
    </w:p>
    <w:p w14:paraId="4212B87F" w14:textId="6EC359E7" w:rsidR="0001256D" w:rsidRPr="0086035E" w:rsidRDefault="0001256D" w:rsidP="0001256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CD417D">
        <w:rPr>
          <w:rFonts w:ascii="Verdana" w:hAnsi="Verdana"/>
          <w:sz w:val="20"/>
          <w:szCs w:val="20"/>
        </w:rPr>
        <w:t>91</w:t>
      </w:r>
      <w:r w:rsidRPr="0086035E">
        <w:rPr>
          <w:rFonts w:ascii="Verdana" w:hAnsi="Verdana"/>
          <w:sz w:val="20"/>
          <w:szCs w:val="20"/>
        </w:rPr>
        <w:t>.</w:t>
      </w:r>
    </w:p>
    <w:p w14:paraId="633CAA04" w14:textId="4FDCB25E" w:rsidR="0001256D" w:rsidRDefault="00192814" w:rsidP="0001256D">
      <w:pPr>
        <w:jc w:val="both"/>
        <w:rPr>
          <w:rFonts w:ascii="Verdana" w:hAnsi="Verdana"/>
          <w:b/>
          <w:bCs/>
          <w:sz w:val="20"/>
          <w:szCs w:val="20"/>
        </w:rPr>
      </w:pPr>
      <w:r w:rsidRPr="00192814">
        <w:rPr>
          <w:rFonts w:ascii="Verdana" w:hAnsi="Verdana"/>
          <w:sz w:val="20"/>
          <w:szCs w:val="20"/>
        </w:rPr>
        <w:t>En los eventos en que se efectúen modificaciones a los modelos de cuantificación de pérdidas, ya sea por orden de la SFC o por iniciativa del FNG, se debe remitir una nueva nota técnica, indicando claramente la variación introducida y dejando expresa constancia en el sentido de que el producto no ha sido objeto de modificaciones adicionales a las enunciadas.</w:t>
      </w:r>
      <w:r w:rsidR="0001256D">
        <w:rPr>
          <w:rFonts w:ascii="Verdana" w:hAnsi="Verdana"/>
          <w:sz w:val="20"/>
          <w:szCs w:val="20"/>
        </w:rPr>
        <w:t xml:space="preserve"> </w:t>
      </w:r>
    </w:p>
    <w:p w14:paraId="51F3B5AB" w14:textId="22862DD8" w:rsidR="0081136D" w:rsidRPr="0086035E" w:rsidRDefault="0081136D" w:rsidP="0081136D">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004C6E">
        <w:rPr>
          <w:rFonts w:ascii="Verdana" w:hAnsi="Verdana"/>
          <w:sz w:val="20"/>
          <w:szCs w:val="20"/>
        </w:rPr>
        <w:t>9</w:t>
      </w:r>
      <w:r w:rsidR="00CD417D">
        <w:rPr>
          <w:rFonts w:ascii="Verdana" w:hAnsi="Verdana"/>
          <w:sz w:val="20"/>
          <w:szCs w:val="20"/>
        </w:rPr>
        <w:t>2</w:t>
      </w:r>
      <w:r w:rsidRPr="0086035E">
        <w:rPr>
          <w:rFonts w:ascii="Verdana" w:hAnsi="Verdana"/>
          <w:sz w:val="20"/>
          <w:szCs w:val="20"/>
        </w:rPr>
        <w:t>.</w:t>
      </w:r>
    </w:p>
    <w:p w14:paraId="2A7C2C8D" w14:textId="335820CF" w:rsidR="00004C6E" w:rsidRPr="00004C6E" w:rsidRDefault="00004C6E" w:rsidP="00004C6E">
      <w:pPr>
        <w:jc w:val="both"/>
        <w:rPr>
          <w:rFonts w:ascii="Verdana" w:hAnsi="Verdana"/>
          <w:b/>
          <w:bCs/>
          <w:sz w:val="20"/>
          <w:szCs w:val="20"/>
        </w:rPr>
      </w:pPr>
      <w:r w:rsidRPr="00004C6E">
        <w:rPr>
          <w:rFonts w:ascii="Verdana" w:hAnsi="Verdana"/>
          <w:sz w:val="20"/>
          <w:szCs w:val="20"/>
        </w:rPr>
        <w:t>Para efectos de la verificación permanente de los requisitos jurídicos y técnicos de las comisiones, el FNG debe mantener a disposición de la SFC las notas técnicas clasificadas por producto, junto con los elementos documentales y soportes estadísticos correspondientes.</w:t>
      </w:r>
    </w:p>
    <w:p w14:paraId="78C5D63D" w14:textId="0B9A54D7" w:rsidR="00004C6E" w:rsidRPr="00732E97" w:rsidRDefault="00004C6E" w:rsidP="00004C6E">
      <w:pPr>
        <w:pStyle w:val="Prrafodelista"/>
        <w:numPr>
          <w:ilvl w:val="0"/>
          <w:numId w:val="2"/>
        </w:numPr>
        <w:ind w:left="284" w:hanging="284"/>
        <w:jc w:val="both"/>
        <w:rPr>
          <w:rFonts w:ascii="Verdana" w:hAnsi="Verdana"/>
          <w:b/>
          <w:bCs/>
          <w:sz w:val="20"/>
          <w:szCs w:val="20"/>
        </w:rPr>
      </w:pPr>
      <w:r>
        <w:rPr>
          <w:rFonts w:ascii="Verdana" w:hAnsi="Verdana"/>
          <w:b/>
          <w:bCs/>
          <w:sz w:val="20"/>
          <w:szCs w:val="20"/>
        </w:rPr>
        <w:t>Control y monitoreo</w:t>
      </w:r>
    </w:p>
    <w:p w14:paraId="58B8EB21" w14:textId="69D0AA43" w:rsidR="00004C6E" w:rsidRPr="0086035E" w:rsidRDefault="00004C6E" w:rsidP="00004C6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7B4155">
        <w:rPr>
          <w:rFonts w:ascii="Verdana" w:hAnsi="Verdana"/>
          <w:sz w:val="20"/>
          <w:szCs w:val="20"/>
        </w:rPr>
        <w:t>9</w:t>
      </w:r>
      <w:r w:rsidR="00CD417D">
        <w:rPr>
          <w:rFonts w:ascii="Verdana" w:hAnsi="Verdana"/>
          <w:sz w:val="20"/>
          <w:szCs w:val="20"/>
        </w:rPr>
        <w:t>3</w:t>
      </w:r>
      <w:r w:rsidRPr="0086035E">
        <w:rPr>
          <w:rFonts w:ascii="Verdana" w:hAnsi="Verdana"/>
          <w:sz w:val="20"/>
          <w:szCs w:val="20"/>
        </w:rPr>
        <w:t>.</w:t>
      </w:r>
    </w:p>
    <w:p w14:paraId="49212C53" w14:textId="645C7966" w:rsidR="00004C6E" w:rsidRDefault="00DD147B" w:rsidP="00004C6E">
      <w:pPr>
        <w:jc w:val="both"/>
        <w:rPr>
          <w:rFonts w:ascii="Verdana" w:hAnsi="Verdana"/>
          <w:sz w:val="20"/>
          <w:szCs w:val="20"/>
        </w:rPr>
      </w:pPr>
      <w:r w:rsidRPr="00DD147B">
        <w:rPr>
          <w:rFonts w:ascii="Verdana" w:hAnsi="Verdana"/>
          <w:sz w:val="20"/>
          <w:szCs w:val="20"/>
        </w:rPr>
        <w:t>El sistema de seguimiento y control de riesgos del FNG debe ser consistente con el proceso de otorgamiento de garantías. Las políticas deben precisar la frecuencia del seguimiento.</w:t>
      </w:r>
    </w:p>
    <w:p w14:paraId="18AE561B" w14:textId="55E3A736" w:rsidR="00004C6E" w:rsidRPr="0086035E" w:rsidRDefault="00004C6E" w:rsidP="00004C6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7B4155">
        <w:rPr>
          <w:rFonts w:ascii="Verdana" w:hAnsi="Verdana"/>
          <w:sz w:val="20"/>
          <w:szCs w:val="20"/>
        </w:rPr>
        <w:t>9</w:t>
      </w:r>
      <w:r w:rsidR="00CD417D">
        <w:rPr>
          <w:rFonts w:ascii="Verdana" w:hAnsi="Verdana"/>
          <w:sz w:val="20"/>
          <w:szCs w:val="20"/>
        </w:rPr>
        <w:t>4</w:t>
      </w:r>
      <w:r w:rsidRPr="0086035E">
        <w:rPr>
          <w:rFonts w:ascii="Verdana" w:hAnsi="Verdana"/>
          <w:sz w:val="20"/>
          <w:szCs w:val="20"/>
        </w:rPr>
        <w:t>.</w:t>
      </w:r>
    </w:p>
    <w:p w14:paraId="10253301" w14:textId="1D44C253" w:rsidR="00F01EB0" w:rsidRDefault="00F12399" w:rsidP="00004C6E">
      <w:pPr>
        <w:jc w:val="both"/>
        <w:rPr>
          <w:rFonts w:ascii="Verdana" w:hAnsi="Verdana"/>
          <w:b/>
          <w:bCs/>
          <w:sz w:val="20"/>
          <w:szCs w:val="20"/>
        </w:rPr>
      </w:pPr>
      <w:r w:rsidRPr="00F12399">
        <w:rPr>
          <w:rFonts w:ascii="Verdana" w:hAnsi="Verdana"/>
          <w:sz w:val="20"/>
          <w:szCs w:val="20"/>
        </w:rPr>
        <w:t>La etapa de seguimiento y control supone un continuo monitoreo de las garantías expedidas, acorde con el proceso de otorgamiento.</w:t>
      </w:r>
    </w:p>
    <w:p w14:paraId="37535868" w14:textId="298E9A69" w:rsidR="00F12399" w:rsidRPr="0086035E" w:rsidRDefault="00F12399" w:rsidP="00F12399">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7B4155">
        <w:rPr>
          <w:rFonts w:ascii="Verdana" w:hAnsi="Verdana"/>
          <w:sz w:val="20"/>
          <w:szCs w:val="20"/>
        </w:rPr>
        <w:t>9</w:t>
      </w:r>
      <w:r w:rsidR="00CD417D">
        <w:rPr>
          <w:rFonts w:ascii="Verdana" w:hAnsi="Verdana"/>
          <w:sz w:val="20"/>
          <w:szCs w:val="20"/>
        </w:rPr>
        <w:t>5</w:t>
      </w:r>
      <w:r w:rsidRPr="0086035E">
        <w:rPr>
          <w:rFonts w:ascii="Verdana" w:hAnsi="Verdana"/>
          <w:sz w:val="20"/>
          <w:szCs w:val="20"/>
        </w:rPr>
        <w:t>.</w:t>
      </w:r>
    </w:p>
    <w:p w14:paraId="13736D18" w14:textId="7176DE4E" w:rsidR="00F12399" w:rsidRDefault="00E13EFB" w:rsidP="00F12399">
      <w:pPr>
        <w:jc w:val="both"/>
        <w:rPr>
          <w:rFonts w:ascii="Verdana" w:hAnsi="Verdana"/>
          <w:b/>
          <w:bCs/>
          <w:sz w:val="20"/>
          <w:szCs w:val="20"/>
        </w:rPr>
      </w:pPr>
      <w:r w:rsidRPr="00E13EFB">
        <w:rPr>
          <w:rFonts w:ascii="Verdana" w:hAnsi="Verdana"/>
          <w:sz w:val="20"/>
          <w:szCs w:val="20"/>
        </w:rPr>
        <w:t xml:space="preserve">Los procesos que se adopten deben contener metodologías y técnicas analíticas que permitan medir el riesgo inherente al otorgamiento de garantías y los cambios potenciales en las condiciones de </w:t>
      </w:r>
      <w:proofErr w:type="gramStart"/>
      <w:r w:rsidRPr="00E13EFB">
        <w:rPr>
          <w:rFonts w:ascii="Verdana" w:hAnsi="Verdana"/>
          <w:sz w:val="20"/>
          <w:szCs w:val="20"/>
        </w:rPr>
        <w:t>las mismas</w:t>
      </w:r>
      <w:proofErr w:type="gramEnd"/>
      <w:r w:rsidRPr="00E13EFB">
        <w:rPr>
          <w:rFonts w:ascii="Verdana" w:hAnsi="Verdana"/>
          <w:sz w:val="20"/>
          <w:szCs w:val="20"/>
        </w:rPr>
        <w:t>. Tales metodologías y técnicas se deben fundamentar, entre otros criterios, en la información relacionada con el comportamiento histórico de los portafolios y los créditos garantizados, las variables sectoriales y macroeconómicas que afecten su normal desarrollo, de las coberturas y las características particulares de los deudores.</w:t>
      </w:r>
    </w:p>
    <w:p w14:paraId="7F7A4A71" w14:textId="7CD53455" w:rsidR="00F12399" w:rsidRPr="0086035E" w:rsidRDefault="00F12399" w:rsidP="00F12399">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7B4155">
        <w:rPr>
          <w:rFonts w:ascii="Verdana" w:hAnsi="Verdana"/>
          <w:sz w:val="20"/>
          <w:szCs w:val="20"/>
        </w:rPr>
        <w:t>9</w:t>
      </w:r>
      <w:r w:rsidR="00CD417D">
        <w:rPr>
          <w:rFonts w:ascii="Verdana" w:hAnsi="Verdana"/>
          <w:sz w:val="20"/>
          <w:szCs w:val="20"/>
        </w:rPr>
        <w:t>6</w:t>
      </w:r>
      <w:r w:rsidRPr="0086035E">
        <w:rPr>
          <w:rFonts w:ascii="Verdana" w:hAnsi="Verdana"/>
          <w:sz w:val="20"/>
          <w:szCs w:val="20"/>
        </w:rPr>
        <w:t>.</w:t>
      </w:r>
    </w:p>
    <w:p w14:paraId="1186BB61" w14:textId="4D5A1B9F" w:rsidR="00F12399" w:rsidRDefault="00636CB2" w:rsidP="00F12399">
      <w:pPr>
        <w:jc w:val="both"/>
        <w:rPr>
          <w:rFonts w:ascii="Verdana" w:hAnsi="Verdana"/>
          <w:sz w:val="20"/>
          <w:szCs w:val="20"/>
        </w:rPr>
      </w:pPr>
      <w:r w:rsidRPr="00636CB2">
        <w:rPr>
          <w:rFonts w:ascii="Verdana" w:hAnsi="Verdana"/>
          <w:sz w:val="20"/>
          <w:szCs w:val="20"/>
        </w:rPr>
        <w:t xml:space="preserve">Las metodologías que se desarrollen deben determinar la pérdida esperada por la exposición al riesgo. La información que resulte de estas metodologías debe ser almacenada como insumo para el afinamiento y retroalimentación de </w:t>
      </w:r>
      <w:proofErr w:type="gramStart"/>
      <w:r w:rsidRPr="00636CB2">
        <w:rPr>
          <w:rFonts w:ascii="Verdana" w:hAnsi="Verdana"/>
          <w:sz w:val="20"/>
          <w:szCs w:val="20"/>
        </w:rPr>
        <w:t>las mismas</w:t>
      </w:r>
      <w:proofErr w:type="gramEnd"/>
      <w:r w:rsidRPr="00636CB2">
        <w:rPr>
          <w:rFonts w:ascii="Verdana" w:hAnsi="Verdana"/>
          <w:sz w:val="20"/>
          <w:szCs w:val="20"/>
        </w:rPr>
        <w:t>.</w:t>
      </w:r>
      <w:r w:rsidR="00F12399" w:rsidRPr="00F12399">
        <w:rPr>
          <w:rFonts w:ascii="Verdana" w:hAnsi="Verdana"/>
          <w:sz w:val="20"/>
          <w:szCs w:val="20"/>
        </w:rPr>
        <w:t xml:space="preserve"> </w:t>
      </w:r>
    </w:p>
    <w:p w14:paraId="7E19E857" w14:textId="7DDC81F4" w:rsidR="0054428A" w:rsidRPr="0086035E" w:rsidRDefault="0054428A" w:rsidP="0054428A">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7B4155">
        <w:rPr>
          <w:rFonts w:ascii="Verdana" w:hAnsi="Verdana"/>
          <w:sz w:val="20"/>
          <w:szCs w:val="20"/>
        </w:rPr>
        <w:t>9</w:t>
      </w:r>
      <w:r w:rsidR="00CD417D">
        <w:rPr>
          <w:rFonts w:ascii="Verdana" w:hAnsi="Verdana"/>
          <w:sz w:val="20"/>
          <w:szCs w:val="20"/>
        </w:rPr>
        <w:t>7</w:t>
      </w:r>
      <w:r w:rsidRPr="0086035E">
        <w:rPr>
          <w:rFonts w:ascii="Verdana" w:hAnsi="Verdana"/>
          <w:sz w:val="20"/>
          <w:szCs w:val="20"/>
        </w:rPr>
        <w:t>.</w:t>
      </w:r>
    </w:p>
    <w:p w14:paraId="42F33C3B" w14:textId="34AD4E3E" w:rsidR="0054428A" w:rsidRDefault="00DD34C1" w:rsidP="0054428A">
      <w:pPr>
        <w:jc w:val="both"/>
        <w:rPr>
          <w:rFonts w:ascii="Verdana" w:hAnsi="Verdana"/>
          <w:b/>
          <w:bCs/>
          <w:sz w:val="20"/>
          <w:szCs w:val="20"/>
        </w:rPr>
      </w:pPr>
      <w:r w:rsidRPr="00DD34C1">
        <w:rPr>
          <w:rFonts w:ascii="Verdana" w:hAnsi="Verdana"/>
          <w:sz w:val="20"/>
          <w:szCs w:val="20"/>
        </w:rPr>
        <w:t xml:space="preserve">Estas metodologías deben ser evaluadas como mínimo 1 vez al año, para establecer su idoneidad, al igual que la relevancia de las variables seleccionadas para cada una de ellas. Igualmente, estas metodologías deben ser probadas en escenarios y condiciones extremas, y se debe medir la suficiencia del nivel de cubrimiento de las reservas frente a las pérdidas efectivamente observadas. Los resultados de estas evaluaciones y pruebas </w:t>
      </w:r>
      <w:r w:rsidRPr="00DD34C1">
        <w:rPr>
          <w:rFonts w:ascii="Verdana" w:hAnsi="Verdana"/>
          <w:sz w:val="20"/>
          <w:szCs w:val="20"/>
        </w:rPr>
        <w:lastRenderedPageBreak/>
        <w:t>deben ser presentados por el representante legal principal a la JD y estar a disposición de la SFC junto con las conclusiones de su análisis.</w:t>
      </w:r>
    </w:p>
    <w:p w14:paraId="085A6932" w14:textId="33DE69F0" w:rsidR="0054428A" w:rsidRPr="0086035E" w:rsidRDefault="0054428A" w:rsidP="0054428A">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w:t>
      </w:r>
      <w:r w:rsidR="007B4155">
        <w:rPr>
          <w:rFonts w:ascii="Verdana" w:hAnsi="Verdana"/>
          <w:sz w:val="20"/>
          <w:szCs w:val="20"/>
        </w:rPr>
        <w:t>9</w:t>
      </w:r>
      <w:r w:rsidR="00CD417D">
        <w:rPr>
          <w:rFonts w:ascii="Verdana" w:hAnsi="Verdana"/>
          <w:sz w:val="20"/>
          <w:szCs w:val="20"/>
        </w:rPr>
        <w:t>8</w:t>
      </w:r>
      <w:r w:rsidRPr="0086035E">
        <w:rPr>
          <w:rFonts w:ascii="Verdana" w:hAnsi="Verdana"/>
          <w:sz w:val="20"/>
          <w:szCs w:val="20"/>
        </w:rPr>
        <w:t>.</w:t>
      </w:r>
    </w:p>
    <w:p w14:paraId="0F825AC4" w14:textId="0B329512" w:rsidR="0054428A" w:rsidRDefault="007B4155" w:rsidP="0054428A">
      <w:pPr>
        <w:jc w:val="both"/>
        <w:rPr>
          <w:rFonts w:ascii="Verdana" w:hAnsi="Verdana"/>
          <w:b/>
          <w:bCs/>
          <w:sz w:val="20"/>
          <w:szCs w:val="20"/>
        </w:rPr>
      </w:pPr>
      <w:r w:rsidRPr="007B4155">
        <w:rPr>
          <w:rFonts w:ascii="Verdana" w:hAnsi="Verdana"/>
          <w:sz w:val="20"/>
          <w:szCs w:val="20"/>
        </w:rPr>
        <w:t>El diseño e implementación de un esquema para la administración del riesgo debe contar con procesos de control interno, mediante los cuales se verifique la implementación de las metodologías, procedimientos y, en general, el cumplimiento de todas las reglas de su funcionamiento, incluyendo especialmente el oportuno flujo de información a la JD y al nivel administrativo de la entidad.</w:t>
      </w:r>
      <w:r w:rsidR="0054428A" w:rsidRPr="00F12399">
        <w:rPr>
          <w:rFonts w:ascii="Verdana" w:hAnsi="Verdana"/>
          <w:sz w:val="20"/>
          <w:szCs w:val="20"/>
        </w:rPr>
        <w:t xml:space="preserve"> </w:t>
      </w:r>
    </w:p>
    <w:p w14:paraId="60761F05" w14:textId="02D6A2B0" w:rsidR="007B4155" w:rsidRPr="00732E97" w:rsidRDefault="00AF1002" w:rsidP="007B4155">
      <w:pPr>
        <w:pStyle w:val="Prrafodelista"/>
        <w:numPr>
          <w:ilvl w:val="0"/>
          <w:numId w:val="2"/>
        </w:numPr>
        <w:ind w:left="284" w:hanging="284"/>
        <w:jc w:val="both"/>
        <w:rPr>
          <w:rFonts w:ascii="Verdana" w:hAnsi="Verdana"/>
          <w:b/>
          <w:bCs/>
          <w:sz w:val="20"/>
          <w:szCs w:val="20"/>
        </w:rPr>
      </w:pPr>
      <w:r>
        <w:rPr>
          <w:rFonts w:ascii="Verdana" w:hAnsi="Verdana"/>
          <w:b/>
          <w:bCs/>
          <w:sz w:val="20"/>
          <w:szCs w:val="20"/>
        </w:rPr>
        <w:t>Recuperación</w:t>
      </w:r>
    </w:p>
    <w:p w14:paraId="2E90EC51" w14:textId="7E516395" w:rsidR="007B4155" w:rsidRPr="0086035E" w:rsidRDefault="007B4155" w:rsidP="007B4155">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29</w:t>
      </w:r>
      <w:r w:rsidR="00CD417D">
        <w:rPr>
          <w:rFonts w:ascii="Verdana" w:hAnsi="Verdana"/>
          <w:sz w:val="20"/>
          <w:szCs w:val="20"/>
        </w:rPr>
        <w:t>9</w:t>
      </w:r>
      <w:r w:rsidRPr="0086035E">
        <w:rPr>
          <w:rFonts w:ascii="Verdana" w:hAnsi="Verdana"/>
          <w:sz w:val="20"/>
          <w:szCs w:val="20"/>
        </w:rPr>
        <w:t>.</w:t>
      </w:r>
    </w:p>
    <w:p w14:paraId="08C6AFAD" w14:textId="56A07ACA" w:rsidR="007B4155" w:rsidRDefault="00696BA2" w:rsidP="007B4155">
      <w:pPr>
        <w:jc w:val="both"/>
        <w:rPr>
          <w:rFonts w:ascii="Verdana" w:hAnsi="Verdana"/>
          <w:sz w:val="20"/>
          <w:szCs w:val="20"/>
        </w:rPr>
      </w:pPr>
      <w:r w:rsidRPr="00696BA2">
        <w:rPr>
          <w:rFonts w:ascii="Verdana" w:hAnsi="Verdana"/>
          <w:sz w:val="20"/>
          <w:szCs w:val="20"/>
        </w:rPr>
        <w:t>La entidad debe desarrollar políticas y procedimientos tendientes a recuperar los recursos que destine al pago de obligaciones garantizadas ante el incumplimiento del deudor, para aquellos productos que incorporen recuperación.</w:t>
      </w:r>
    </w:p>
    <w:p w14:paraId="353504AF" w14:textId="62A6B1E9" w:rsidR="00F0577B" w:rsidRPr="0086035E" w:rsidRDefault="00F0577B" w:rsidP="00F0577B">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CD417D">
        <w:rPr>
          <w:rFonts w:ascii="Verdana" w:hAnsi="Verdana"/>
          <w:sz w:val="20"/>
          <w:szCs w:val="20"/>
        </w:rPr>
        <w:t>300</w:t>
      </w:r>
      <w:r w:rsidRPr="0086035E">
        <w:rPr>
          <w:rFonts w:ascii="Verdana" w:hAnsi="Verdana"/>
          <w:sz w:val="20"/>
          <w:szCs w:val="20"/>
        </w:rPr>
        <w:t>.</w:t>
      </w:r>
    </w:p>
    <w:p w14:paraId="4E018EE8" w14:textId="18FB8573" w:rsidR="00F0577B" w:rsidRDefault="00265AA7" w:rsidP="00F0577B">
      <w:pPr>
        <w:jc w:val="both"/>
        <w:rPr>
          <w:rFonts w:ascii="Verdana" w:hAnsi="Verdana"/>
          <w:sz w:val="20"/>
          <w:szCs w:val="20"/>
        </w:rPr>
      </w:pPr>
      <w:r w:rsidRPr="00265AA7">
        <w:rPr>
          <w:rFonts w:ascii="Verdana" w:hAnsi="Verdana"/>
          <w:sz w:val="20"/>
          <w:szCs w:val="20"/>
        </w:rPr>
        <w:t>Es importante que el FNG cuente con una base histórica de este tipo de eventos, así como del nivel de recuperaciones obtenidas con el fin de ajustar técnicamente las pérdidas esperadas al nivel de recuperaciones.</w:t>
      </w:r>
    </w:p>
    <w:p w14:paraId="1623A324" w14:textId="4A01D447" w:rsidR="00F0577B" w:rsidRPr="0086035E" w:rsidRDefault="00F0577B" w:rsidP="00F0577B">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CD417D">
        <w:rPr>
          <w:rFonts w:ascii="Verdana" w:hAnsi="Verdana"/>
          <w:sz w:val="20"/>
          <w:szCs w:val="20"/>
        </w:rPr>
        <w:t>301</w:t>
      </w:r>
      <w:r w:rsidRPr="0086035E">
        <w:rPr>
          <w:rFonts w:ascii="Verdana" w:hAnsi="Verdana"/>
          <w:sz w:val="20"/>
          <w:szCs w:val="20"/>
        </w:rPr>
        <w:t>.</w:t>
      </w:r>
    </w:p>
    <w:p w14:paraId="26048735" w14:textId="0AD6D5D5" w:rsidR="00F01EB0" w:rsidRPr="00E5148E" w:rsidRDefault="00F0577B" w:rsidP="00EA4ECE">
      <w:pPr>
        <w:jc w:val="both"/>
        <w:rPr>
          <w:rFonts w:ascii="Verdana" w:hAnsi="Verdana"/>
          <w:sz w:val="20"/>
          <w:szCs w:val="20"/>
        </w:rPr>
      </w:pPr>
      <w:r w:rsidRPr="00DD147B">
        <w:rPr>
          <w:rFonts w:ascii="Verdana" w:hAnsi="Verdana"/>
          <w:sz w:val="20"/>
          <w:szCs w:val="20"/>
        </w:rPr>
        <w:t xml:space="preserve">El </w:t>
      </w:r>
      <w:r w:rsidR="00E5148E" w:rsidRPr="00E5148E">
        <w:rPr>
          <w:rFonts w:ascii="Verdana" w:hAnsi="Verdana"/>
          <w:sz w:val="20"/>
          <w:szCs w:val="20"/>
        </w:rPr>
        <w:t>FNG debe contar con procedimientos aprobados por la JD y ejecutados por la administración de la entidad, tendientes a maximizar la recuperación de los recursos cancelados en virtud de las reclamaciones atendidas. Tales procesos deben identificar claramente los responsables de su desarrollo, así como los criterios con base en los cuales se ejecutan las labores de cobranza, se evalúan y deciden acuerdos de pago, se administra el proceso de recepción y realización de bienes recibidos a título de dación en pago y se decide el castigo de activos.</w:t>
      </w:r>
    </w:p>
    <w:p w14:paraId="1728059A" w14:textId="4E04B79B" w:rsidR="00EA4ECE" w:rsidRPr="007735FE" w:rsidRDefault="00EA4ECE" w:rsidP="00EA4ECE">
      <w:pPr>
        <w:jc w:val="both"/>
        <w:rPr>
          <w:rFonts w:ascii="Verdana" w:hAnsi="Verdana"/>
          <w:b/>
          <w:bCs/>
          <w:sz w:val="20"/>
          <w:szCs w:val="20"/>
        </w:rPr>
      </w:pPr>
      <w:r>
        <w:rPr>
          <w:rFonts w:ascii="Verdana" w:hAnsi="Verdana"/>
          <w:b/>
          <w:bCs/>
          <w:sz w:val="20"/>
          <w:szCs w:val="20"/>
        </w:rPr>
        <w:t>Límites</w:t>
      </w:r>
    </w:p>
    <w:p w14:paraId="756BB5A4" w14:textId="0DC21176" w:rsidR="00EA4ECE" w:rsidRDefault="00EA4ECE" w:rsidP="00EA4ECE">
      <w:pPr>
        <w:spacing w:after="0"/>
        <w:jc w:val="both"/>
        <w:rPr>
          <w:rFonts w:ascii="Verdana" w:hAnsi="Verdana"/>
          <w:sz w:val="20"/>
          <w:szCs w:val="20"/>
        </w:rPr>
      </w:pPr>
      <w:r>
        <w:rPr>
          <w:rFonts w:ascii="Verdana" w:hAnsi="Verdana"/>
          <w:sz w:val="20"/>
          <w:szCs w:val="20"/>
        </w:rPr>
        <w:t>1.1.2.3</w:t>
      </w:r>
      <w:r w:rsidR="009A20A9">
        <w:rPr>
          <w:rFonts w:ascii="Verdana" w:hAnsi="Verdana"/>
          <w:sz w:val="20"/>
          <w:szCs w:val="20"/>
        </w:rPr>
        <w:t>0</w:t>
      </w:r>
      <w:r w:rsidR="00CD417D">
        <w:rPr>
          <w:rFonts w:ascii="Verdana" w:hAnsi="Verdana"/>
          <w:sz w:val="20"/>
          <w:szCs w:val="20"/>
        </w:rPr>
        <w:t>2</w:t>
      </w:r>
      <w:r>
        <w:rPr>
          <w:rFonts w:ascii="Verdana" w:hAnsi="Verdana"/>
          <w:sz w:val="20"/>
          <w:szCs w:val="20"/>
        </w:rPr>
        <w:t>.</w:t>
      </w:r>
    </w:p>
    <w:p w14:paraId="40244678" w14:textId="2669ABE9" w:rsidR="00EA4ECE" w:rsidRDefault="009A20A9" w:rsidP="00EA4ECE">
      <w:pPr>
        <w:jc w:val="both"/>
        <w:rPr>
          <w:rFonts w:ascii="Verdana" w:hAnsi="Verdana"/>
          <w:sz w:val="20"/>
          <w:szCs w:val="20"/>
        </w:rPr>
      </w:pPr>
      <w:r w:rsidRPr="009A20A9">
        <w:rPr>
          <w:rFonts w:ascii="Verdana" w:hAnsi="Verdana"/>
          <w:sz w:val="20"/>
          <w:szCs w:val="20"/>
        </w:rPr>
        <w:t xml:space="preserve">Las políticas del FNG deben incluir las pautas generales que debe observar la entidad en la fijación, tanto de la perdida tolerada como de los límites de exposiciones (iniciales y potenciales) para intermediarios, deudores, </w:t>
      </w:r>
      <w:proofErr w:type="spellStart"/>
      <w:r w:rsidRPr="009A20A9">
        <w:rPr>
          <w:rFonts w:ascii="Verdana" w:hAnsi="Verdana"/>
          <w:sz w:val="20"/>
          <w:szCs w:val="20"/>
        </w:rPr>
        <w:t>retro-garantes</w:t>
      </w:r>
      <w:proofErr w:type="spellEnd"/>
      <w:r w:rsidRPr="009A20A9">
        <w:rPr>
          <w:rFonts w:ascii="Verdana" w:hAnsi="Verdana"/>
          <w:sz w:val="20"/>
          <w:szCs w:val="20"/>
        </w:rPr>
        <w:t>, líneas de garantía, entre otros, con el fin de velar por la adecuada diversificación de los riesgos asumidos. Lo anterior conforme con el plan de negocio y apetito de riesgo de la entidad.</w:t>
      </w:r>
    </w:p>
    <w:p w14:paraId="7BCCA685" w14:textId="48382957" w:rsidR="00D31F21" w:rsidRDefault="00A42590" w:rsidP="00203647">
      <w:pPr>
        <w:rPr>
          <w:rFonts w:ascii="Verdana" w:hAnsi="Verdana"/>
          <w:b/>
          <w:bCs/>
          <w:sz w:val="20"/>
          <w:szCs w:val="20"/>
        </w:rPr>
      </w:pPr>
      <w:r>
        <w:rPr>
          <w:rFonts w:ascii="Verdana" w:hAnsi="Verdana"/>
          <w:sz w:val="20"/>
          <w:szCs w:val="20"/>
        </w:rPr>
        <w:br w:type="page"/>
      </w:r>
      <w:r w:rsidR="00D31F21">
        <w:rPr>
          <w:rFonts w:ascii="Verdana" w:hAnsi="Verdana"/>
          <w:b/>
          <w:bCs/>
          <w:sz w:val="20"/>
          <w:szCs w:val="20"/>
        </w:rPr>
        <w:lastRenderedPageBreak/>
        <w:t xml:space="preserve">GESTIÓN DEL </w:t>
      </w:r>
      <w:r w:rsidR="00D31F21" w:rsidRPr="00A810C8">
        <w:rPr>
          <w:rFonts w:ascii="Verdana" w:hAnsi="Verdana"/>
          <w:b/>
          <w:bCs/>
          <w:sz w:val="20"/>
          <w:szCs w:val="20"/>
        </w:rPr>
        <w:t xml:space="preserve">RIESGO </w:t>
      </w:r>
      <w:r w:rsidR="00F25A1A" w:rsidRPr="00F25A1A">
        <w:rPr>
          <w:rFonts w:ascii="Verdana" w:hAnsi="Verdana"/>
          <w:b/>
          <w:bCs/>
          <w:sz w:val="20"/>
          <w:szCs w:val="20"/>
        </w:rPr>
        <w:t>DE SEGUROS</w:t>
      </w:r>
    </w:p>
    <w:p w14:paraId="3546F4F3" w14:textId="77777777" w:rsidR="00F25A1A" w:rsidRDefault="00F25A1A" w:rsidP="00F25A1A">
      <w:pPr>
        <w:spacing w:after="0"/>
        <w:jc w:val="both"/>
        <w:rPr>
          <w:rFonts w:ascii="Verdana" w:hAnsi="Verdana"/>
          <w:sz w:val="20"/>
          <w:szCs w:val="20"/>
        </w:rPr>
      </w:pPr>
    </w:p>
    <w:p w14:paraId="31D8E764" w14:textId="3BB5A7F8" w:rsidR="00F25A1A" w:rsidRPr="000001A2" w:rsidRDefault="00F25A1A" w:rsidP="00F25A1A">
      <w:pPr>
        <w:spacing w:after="0"/>
        <w:jc w:val="both"/>
        <w:rPr>
          <w:rFonts w:ascii="Verdana" w:hAnsi="Verdana"/>
          <w:sz w:val="20"/>
          <w:szCs w:val="20"/>
        </w:rPr>
      </w:pPr>
      <w:r>
        <w:rPr>
          <w:rFonts w:ascii="Verdana" w:hAnsi="Verdana"/>
          <w:sz w:val="20"/>
          <w:szCs w:val="20"/>
        </w:rPr>
        <w:t>1.1.2.30</w:t>
      </w:r>
      <w:r w:rsidR="00CD417D">
        <w:rPr>
          <w:rFonts w:ascii="Verdana" w:hAnsi="Verdana"/>
          <w:sz w:val="20"/>
          <w:szCs w:val="20"/>
        </w:rPr>
        <w:t>3</w:t>
      </w:r>
      <w:r>
        <w:rPr>
          <w:rFonts w:ascii="Verdana" w:hAnsi="Verdana"/>
          <w:sz w:val="20"/>
          <w:szCs w:val="20"/>
        </w:rPr>
        <w:t>.</w:t>
      </w:r>
    </w:p>
    <w:p w14:paraId="3649373D" w14:textId="6CCC265C" w:rsidR="00F25A1A" w:rsidRPr="00214036" w:rsidRDefault="00214036" w:rsidP="00D31F21">
      <w:pPr>
        <w:jc w:val="both"/>
        <w:rPr>
          <w:rFonts w:ascii="Verdana" w:hAnsi="Verdana"/>
          <w:sz w:val="20"/>
          <w:szCs w:val="20"/>
        </w:rPr>
      </w:pPr>
      <w:r w:rsidRPr="00214036">
        <w:rPr>
          <w:rFonts w:ascii="Verdana" w:hAnsi="Verdana"/>
          <w:sz w:val="20"/>
          <w:szCs w:val="20"/>
        </w:rPr>
        <w:t>Las entidades aseguradoras deben desarrollar las etapas de identificación, medición, monitoreo y control en la gestión de los riesgos que le resulten aplicables de la presente</w:t>
      </w:r>
      <w:r w:rsidR="00D67C7C">
        <w:rPr>
          <w:rFonts w:ascii="Verdana" w:hAnsi="Verdana"/>
          <w:sz w:val="20"/>
          <w:szCs w:val="20"/>
        </w:rPr>
        <w:t xml:space="preserve"> sección </w:t>
      </w:r>
      <w:r w:rsidRPr="00214036">
        <w:rPr>
          <w:rFonts w:ascii="Verdana" w:hAnsi="Verdana"/>
          <w:sz w:val="20"/>
          <w:szCs w:val="20"/>
        </w:rPr>
        <w:t>y los referidos a continuación:</w:t>
      </w:r>
    </w:p>
    <w:p w14:paraId="7A4C12A7" w14:textId="3AC9C288" w:rsidR="00D31F21" w:rsidRPr="007735FE" w:rsidRDefault="00214036" w:rsidP="00D31F21">
      <w:pPr>
        <w:jc w:val="both"/>
        <w:rPr>
          <w:rFonts w:ascii="Verdana" w:hAnsi="Verdana"/>
          <w:b/>
          <w:bCs/>
          <w:sz w:val="20"/>
          <w:szCs w:val="20"/>
        </w:rPr>
      </w:pPr>
      <w:r>
        <w:rPr>
          <w:rFonts w:ascii="Verdana" w:hAnsi="Verdana"/>
          <w:b/>
          <w:bCs/>
          <w:sz w:val="20"/>
          <w:szCs w:val="20"/>
        </w:rPr>
        <w:t>R</w:t>
      </w:r>
      <w:r w:rsidR="00D31F21">
        <w:rPr>
          <w:rFonts w:ascii="Verdana" w:hAnsi="Verdana"/>
          <w:b/>
          <w:bCs/>
          <w:sz w:val="20"/>
          <w:szCs w:val="20"/>
        </w:rPr>
        <w:t xml:space="preserve">iesgo </w:t>
      </w:r>
      <w:r w:rsidR="00D31F21" w:rsidRPr="0069214A">
        <w:rPr>
          <w:rFonts w:ascii="Verdana" w:hAnsi="Verdana"/>
          <w:b/>
          <w:bCs/>
          <w:sz w:val="20"/>
          <w:szCs w:val="20"/>
        </w:rPr>
        <w:t xml:space="preserve">de </w:t>
      </w:r>
      <w:r>
        <w:rPr>
          <w:rFonts w:ascii="Verdana" w:hAnsi="Verdana"/>
          <w:b/>
          <w:bCs/>
          <w:sz w:val="20"/>
          <w:szCs w:val="20"/>
        </w:rPr>
        <w:t>contrap</w:t>
      </w:r>
      <w:r w:rsidR="003931A3">
        <w:rPr>
          <w:rFonts w:ascii="Verdana" w:hAnsi="Verdana"/>
          <w:b/>
          <w:bCs/>
          <w:sz w:val="20"/>
          <w:szCs w:val="20"/>
        </w:rPr>
        <w:t>arte</w:t>
      </w:r>
    </w:p>
    <w:p w14:paraId="53749511" w14:textId="7C9F7C30" w:rsidR="00D31F21" w:rsidRPr="000001A2" w:rsidRDefault="00D31F21" w:rsidP="00D31F21">
      <w:pPr>
        <w:spacing w:after="0"/>
        <w:jc w:val="both"/>
        <w:rPr>
          <w:rFonts w:ascii="Verdana" w:hAnsi="Verdana"/>
          <w:sz w:val="20"/>
          <w:szCs w:val="20"/>
        </w:rPr>
      </w:pPr>
      <w:r>
        <w:rPr>
          <w:rFonts w:ascii="Verdana" w:hAnsi="Verdana"/>
          <w:sz w:val="20"/>
          <w:szCs w:val="20"/>
        </w:rPr>
        <w:t>1.1.2.</w:t>
      </w:r>
      <w:r w:rsidR="003931A3">
        <w:rPr>
          <w:rFonts w:ascii="Verdana" w:hAnsi="Verdana"/>
          <w:sz w:val="20"/>
          <w:szCs w:val="20"/>
        </w:rPr>
        <w:t>30</w:t>
      </w:r>
      <w:r w:rsidR="00CD417D">
        <w:rPr>
          <w:rFonts w:ascii="Verdana" w:hAnsi="Verdana"/>
          <w:sz w:val="20"/>
          <w:szCs w:val="20"/>
        </w:rPr>
        <w:t>4</w:t>
      </w:r>
      <w:r>
        <w:rPr>
          <w:rFonts w:ascii="Verdana" w:hAnsi="Verdana"/>
          <w:sz w:val="20"/>
          <w:szCs w:val="20"/>
        </w:rPr>
        <w:t>.</w:t>
      </w:r>
    </w:p>
    <w:p w14:paraId="0976849B" w14:textId="5BD14455" w:rsidR="00B179E8" w:rsidRDefault="00B179E8" w:rsidP="00B179E8">
      <w:pPr>
        <w:jc w:val="both"/>
        <w:rPr>
          <w:rFonts w:ascii="Verdana" w:hAnsi="Verdana"/>
          <w:sz w:val="20"/>
          <w:szCs w:val="20"/>
        </w:rPr>
      </w:pPr>
      <w:r w:rsidRPr="00B179E8">
        <w:rPr>
          <w:rFonts w:ascii="Verdana" w:hAnsi="Verdana"/>
          <w:sz w:val="20"/>
          <w:szCs w:val="20"/>
        </w:rPr>
        <w:t>Se entiende como la posibilidad de incurrir en pérdidas por el no pago de las obligaciones a cargo de sus reaseguradores, asegurados, intermediarios de seguros</w:t>
      </w:r>
      <w:r w:rsidR="00403CD5">
        <w:rPr>
          <w:rFonts w:ascii="Verdana" w:hAnsi="Verdana"/>
          <w:sz w:val="20"/>
          <w:szCs w:val="20"/>
        </w:rPr>
        <w:t>, operadores de coaseguro</w:t>
      </w:r>
      <w:r w:rsidRPr="00B179E8">
        <w:rPr>
          <w:rFonts w:ascii="Verdana" w:hAnsi="Verdana"/>
          <w:sz w:val="20"/>
          <w:szCs w:val="20"/>
        </w:rPr>
        <w:t xml:space="preserve"> y otras co</w:t>
      </w:r>
      <w:r w:rsidR="00EF46B6">
        <w:rPr>
          <w:rFonts w:ascii="Verdana" w:hAnsi="Verdana"/>
          <w:sz w:val="20"/>
          <w:szCs w:val="20"/>
        </w:rPr>
        <w:t xml:space="preserve">ntrapartes </w:t>
      </w:r>
      <w:r w:rsidRPr="00B179E8">
        <w:rPr>
          <w:rFonts w:ascii="Verdana" w:hAnsi="Verdana"/>
          <w:sz w:val="20"/>
          <w:szCs w:val="20"/>
        </w:rPr>
        <w:t xml:space="preserve">con las cuales realiza operaciones </w:t>
      </w:r>
      <w:r w:rsidR="0069474D">
        <w:rPr>
          <w:rFonts w:ascii="Verdana" w:hAnsi="Verdana"/>
          <w:sz w:val="20"/>
          <w:szCs w:val="20"/>
        </w:rPr>
        <w:t>que le generen riesgo</w:t>
      </w:r>
      <w:r w:rsidRPr="00B179E8">
        <w:rPr>
          <w:rFonts w:ascii="Verdana" w:hAnsi="Verdana"/>
          <w:sz w:val="20"/>
          <w:szCs w:val="20"/>
        </w:rPr>
        <w:t xml:space="preserve">. </w:t>
      </w:r>
      <w:r w:rsidR="00F54A8B">
        <w:rPr>
          <w:rFonts w:ascii="Verdana" w:hAnsi="Verdana"/>
          <w:sz w:val="20"/>
          <w:szCs w:val="20"/>
        </w:rPr>
        <w:t>Este riesgo i</w:t>
      </w:r>
      <w:r w:rsidRPr="00B179E8">
        <w:rPr>
          <w:rFonts w:ascii="Verdana" w:hAnsi="Verdana"/>
          <w:sz w:val="20"/>
          <w:szCs w:val="20"/>
        </w:rPr>
        <w:t>ncluye la exposición al riesgo de crédito indirecto, el cual se genera, por ejemplo, en la expedición de pólizas de cumplimiento.</w:t>
      </w:r>
    </w:p>
    <w:p w14:paraId="77D0F741" w14:textId="0A6EE662" w:rsidR="00FD19D0" w:rsidRPr="000001A2" w:rsidRDefault="00FD19D0" w:rsidP="00FD19D0">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.1.2.30</w:t>
      </w:r>
      <w:r w:rsidR="00CD417D">
        <w:rPr>
          <w:rFonts w:ascii="Verdana" w:hAnsi="Verdana"/>
          <w:sz w:val="20"/>
          <w:szCs w:val="20"/>
        </w:rPr>
        <w:t>5</w:t>
      </w:r>
      <w:r>
        <w:rPr>
          <w:rFonts w:ascii="Verdana" w:hAnsi="Verdana"/>
          <w:sz w:val="20"/>
          <w:szCs w:val="20"/>
        </w:rPr>
        <w:t>.</w:t>
      </w:r>
    </w:p>
    <w:p w14:paraId="26AA749F" w14:textId="6EAFA02E" w:rsidR="00FD19D0" w:rsidRPr="000209E8" w:rsidRDefault="00552C9D" w:rsidP="00FD19D0">
      <w:pPr>
        <w:jc w:val="both"/>
        <w:rPr>
          <w:rFonts w:ascii="Verdana" w:hAnsi="Verdana"/>
          <w:sz w:val="20"/>
          <w:szCs w:val="20"/>
        </w:rPr>
      </w:pPr>
      <w:r w:rsidRPr="00B179E8">
        <w:rPr>
          <w:rFonts w:ascii="Verdana" w:hAnsi="Verdana"/>
          <w:sz w:val="20"/>
          <w:szCs w:val="20"/>
        </w:rPr>
        <w:t xml:space="preserve">Para el caso del riesgo de contraparte derivado de los contratos de reaseguro se debe dar cumplimiento a las instrucciones señaladas en </w:t>
      </w:r>
      <w:r w:rsidR="0096381B">
        <w:rPr>
          <w:rFonts w:ascii="Verdana" w:hAnsi="Verdana"/>
          <w:sz w:val="20"/>
          <w:szCs w:val="20"/>
        </w:rPr>
        <w:t xml:space="preserve">el </w:t>
      </w:r>
      <w:r w:rsidR="00C30344">
        <w:rPr>
          <w:rFonts w:ascii="Verdana" w:hAnsi="Verdana"/>
          <w:sz w:val="20"/>
          <w:szCs w:val="20"/>
        </w:rPr>
        <w:t xml:space="preserve">capítulo 8 de la parte 3 de la </w:t>
      </w:r>
      <w:r w:rsidR="00F5486D">
        <w:rPr>
          <w:rFonts w:ascii="Verdana" w:hAnsi="Verdana"/>
          <w:sz w:val="20"/>
          <w:szCs w:val="20"/>
        </w:rPr>
        <w:t>CBF</w:t>
      </w:r>
      <w:r w:rsidR="00C30344">
        <w:rPr>
          <w:rFonts w:ascii="Verdana" w:hAnsi="Verdana"/>
          <w:sz w:val="20"/>
          <w:szCs w:val="20"/>
        </w:rPr>
        <w:t xml:space="preserve"> y en el </w:t>
      </w:r>
      <w:r w:rsidRPr="0096381B">
        <w:rPr>
          <w:rFonts w:ascii="Verdana" w:hAnsi="Verdana"/>
          <w:sz w:val="20"/>
          <w:szCs w:val="20"/>
        </w:rPr>
        <w:t>capítulo II</w:t>
      </w:r>
      <w:r w:rsidR="00CE794C">
        <w:rPr>
          <w:rFonts w:ascii="Verdana" w:hAnsi="Verdana"/>
          <w:sz w:val="20"/>
          <w:szCs w:val="20"/>
        </w:rPr>
        <w:t xml:space="preserve"> del</w:t>
      </w:r>
      <w:r w:rsidRPr="0096381B">
        <w:rPr>
          <w:rFonts w:ascii="Verdana" w:hAnsi="Verdana"/>
          <w:sz w:val="20"/>
          <w:szCs w:val="20"/>
        </w:rPr>
        <w:t xml:space="preserve"> título IV de la parte II de la CBJ.</w:t>
      </w:r>
    </w:p>
    <w:p w14:paraId="2E3E3175" w14:textId="3072B3FB" w:rsidR="00D31F21" w:rsidRPr="000001A2" w:rsidRDefault="00D31F21" w:rsidP="00D31F21">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w:t>
      </w:r>
      <w:r w:rsidR="003931A3">
        <w:rPr>
          <w:rFonts w:ascii="Verdana" w:hAnsi="Verdana"/>
          <w:sz w:val="20"/>
          <w:szCs w:val="20"/>
        </w:rPr>
        <w:t>30</w:t>
      </w:r>
      <w:r w:rsidR="00CD417D">
        <w:rPr>
          <w:rFonts w:ascii="Verdana" w:hAnsi="Verdana"/>
          <w:sz w:val="20"/>
          <w:szCs w:val="20"/>
        </w:rPr>
        <w:t>6</w:t>
      </w:r>
      <w:r>
        <w:rPr>
          <w:rFonts w:ascii="Verdana" w:hAnsi="Verdana"/>
          <w:sz w:val="20"/>
          <w:szCs w:val="20"/>
        </w:rPr>
        <w:t>.</w:t>
      </w:r>
    </w:p>
    <w:p w14:paraId="7610A781" w14:textId="2192ECEE" w:rsidR="00FA43A8" w:rsidRPr="00214036" w:rsidRDefault="004F56BD" w:rsidP="00FA43A8">
      <w:pPr>
        <w:jc w:val="both"/>
        <w:rPr>
          <w:rFonts w:ascii="Verdana" w:hAnsi="Verdana"/>
          <w:sz w:val="20"/>
          <w:szCs w:val="20"/>
        </w:rPr>
      </w:pPr>
      <w:r w:rsidRPr="00B179E8">
        <w:rPr>
          <w:rFonts w:ascii="Verdana" w:hAnsi="Verdana"/>
          <w:sz w:val="20"/>
          <w:szCs w:val="20"/>
        </w:rPr>
        <w:t xml:space="preserve">Para el caso del riesgo de </w:t>
      </w:r>
      <w:r w:rsidR="004A290F">
        <w:rPr>
          <w:rFonts w:ascii="Verdana" w:hAnsi="Verdana"/>
          <w:sz w:val="20"/>
          <w:szCs w:val="20"/>
        </w:rPr>
        <w:t>crédito</w:t>
      </w:r>
      <w:r w:rsidRPr="00B179E8">
        <w:rPr>
          <w:rFonts w:ascii="Verdana" w:hAnsi="Verdana"/>
          <w:sz w:val="20"/>
          <w:szCs w:val="20"/>
        </w:rPr>
        <w:t xml:space="preserve"> derivado de operaciones </w:t>
      </w:r>
      <w:r w:rsidR="00FB4772">
        <w:rPr>
          <w:rFonts w:ascii="Verdana" w:hAnsi="Verdana"/>
          <w:sz w:val="20"/>
          <w:szCs w:val="20"/>
        </w:rPr>
        <w:t xml:space="preserve">que expongan a la entidad a este riesgo </w:t>
      </w:r>
      <w:r w:rsidR="00076A58">
        <w:rPr>
          <w:rFonts w:ascii="Verdana" w:hAnsi="Verdana"/>
          <w:sz w:val="20"/>
          <w:szCs w:val="20"/>
        </w:rPr>
        <w:t>la entidad</w:t>
      </w:r>
      <w:r w:rsidRPr="00B179E8">
        <w:rPr>
          <w:rFonts w:ascii="Verdana" w:hAnsi="Verdana"/>
          <w:sz w:val="20"/>
          <w:szCs w:val="20"/>
        </w:rPr>
        <w:t xml:space="preserve"> debe tener en cuenta las instrucciones señaladas </w:t>
      </w:r>
      <w:r w:rsidR="003530D1">
        <w:rPr>
          <w:rFonts w:ascii="Verdana" w:hAnsi="Verdana"/>
          <w:sz w:val="20"/>
          <w:szCs w:val="20"/>
        </w:rPr>
        <w:t xml:space="preserve">para </w:t>
      </w:r>
      <w:r w:rsidR="00B95696">
        <w:rPr>
          <w:rFonts w:ascii="Verdana" w:hAnsi="Verdana"/>
          <w:sz w:val="20"/>
          <w:szCs w:val="20"/>
        </w:rPr>
        <w:t>la gestión</w:t>
      </w:r>
      <w:r w:rsidR="003530D1">
        <w:rPr>
          <w:rFonts w:ascii="Verdana" w:hAnsi="Verdana"/>
          <w:sz w:val="20"/>
          <w:szCs w:val="20"/>
        </w:rPr>
        <w:t xml:space="preserve"> del riesgo crediticio d</w:t>
      </w:r>
      <w:r w:rsidR="001D38B5">
        <w:rPr>
          <w:rFonts w:ascii="Verdana" w:hAnsi="Verdana"/>
          <w:sz w:val="20"/>
          <w:szCs w:val="20"/>
        </w:rPr>
        <w:t>e la presente sección</w:t>
      </w:r>
      <w:r w:rsidR="004A290F">
        <w:rPr>
          <w:rFonts w:ascii="Verdana" w:hAnsi="Verdana"/>
          <w:sz w:val="20"/>
          <w:szCs w:val="20"/>
        </w:rPr>
        <w:t>.</w:t>
      </w:r>
    </w:p>
    <w:p w14:paraId="77F7029C" w14:textId="349B547A" w:rsidR="00FA43A8" w:rsidRPr="007735FE" w:rsidRDefault="00FA43A8" w:rsidP="00FA43A8">
      <w:pPr>
        <w:jc w:val="both"/>
        <w:rPr>
          <w:rFonts w:ascii="Verdana" w:hAnsi="Verdana"/>
          <w:b/>
          <w:bCs/>
          <w:sz w:val="20"/>
          <w:szCs w:val="20"/>
        </w:rPr>
      </w:pPr>
      <w:r>
        <w:rPr>
          <w:rFonts w:ascii="Verdana" w:hAnsi="Verdana"/>
          <w:b/>
          <w:bCs/>
          <w:sz w:val="20"/>
          <w:szCs w:val="20"/>
        </w:rPr>
        <w:t xml:space="preserve">Riesgo </w:t>
      </w:r>
      <w:r w:rsidRPr="0069214A">
        <w:rPr>
          <w:rFonts w:ascii="Verdana" w:hAnsi="Verdana"/>
          <w:b/>
          <w:bCs/>
          <w:sz w:val="20"/>
          <w:szCs w:val="20"/>
        </w:rPr>
        <w:t xml:space="preserve">de </w:t>
      </w:r>
      <w:proofErr w:type="spellStart"/>
      <w:r w:rsidR="000D0360">
        <w:rPr>
          <w:rFonts w:ascii="Verdana" w:hAnsi="Verdana"/>
          <w:b/>
          <w:bCs/>
          <w:sz w:val="20"/>
          <w:szCs w:val="20"/>
        </w:rPr>
        <w:t>l</w:t>
      </w:r>
      <w:r w:rsidR="004E3312">
        <w:rPr>
          <w:rFonts w:ascii="Verdana" w:hAnsi="Verdana"/>
          <w:b/>
          <w:bCs/>
          <w:sz w:val="20"/>
          <w:szCs w:val="20"/>
        </w:rPr>
        <w:t>í</w:t>
      </w:r>
      <w:r w:rsidR="000D0360">
        <w:rPr>
          <w:rFonts w:ascii="Verdana" w:hAnsi="Verdana"/>
          <w:b/>
          <w:bCs/>
          <w:sz w:val="20"/>
          <w:szCs w:val="20"/>
        </w:rPr>
        <w:t>quidez</w:t>
      </w:r>
      <w:proofErr w:type="spellEnd"/>
    </w:p>
    <w:p w14:paraId="3B83C4C0" w14:textId="3DA1B09B" w:rsidR="00D31F21" w:rsidRPr="000001A2" w:rsidRDefault="00D31F21" w:rsidP="00D31F21">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w:t>
      </w:r>
      <w:r w:rsidR="00202B8E">
        <w:rPr>
          <w:rFonts w:ascii="Verdana" w:hAnsi="Verdana"/>
          <w:sz w:val="20"/>
          <w:szCs w:val="20"/>
        </w:rPr>
        <w:t>30</w:t>
      </w:r>
      <w:r w:rsidR="00CD417D">
        <w:rPr>
          <w:rFonts w:ascii="Verdana" w:hAnsi="Verdana"/>
          <w:sz w:val="20"/>
          <w:szCs w:val="20"/>
        </w:rPr>
        <w:t>7</w:t>
      </w:r>
      <w:r>
        <w:rPr>
          <w:rFonts w:ascii="Verdana" w:hAnsi="Verdana"/>
          <w:sz w:val="20"/>
          <w:szCs w:val="20"/>
        </w:rPr>
        <w:t>.</w:t>
      </w:r>
    </w:p>
    <w:p w14:paraId="491FD1A4" w14:textId="39077334" w:rsidR="00D31F21" w:rsidRPr="000209E8" w:rsidRDefault="00411A40" w:rsidP="00D31F21">
      <w:pPr>
        <w:jc w:val="both"/>
        <w:rPr>
          <w:rFonts w:ascii="Verdana" w:hAnsi="Verdana"/>
          <w:sz w:val="20"/>
          <w:szCs w:val="20"/>
        </w:rPr>
      </w:pPr>
      <w:r w:rsidRPr="00411A40">
        <w:rPr>
          <w:rFonts w:ascii="Verdana" w:hAnsi="Verdana"/>
          <w:sz w:val="20"/>
          <w:szCs w:val="20"/>
        </w:rPr>
        <w:t>Es la posibilidad de que una entidad incurra en pérdidas asociadas a la contingencia de no poder cumplir plenamente, de manera oportuna y eficiente con los flujos de caja esperados e inesperados, vigentes y futuros, sin afectar el curso de las operaciones diarias o la condición financiera de la entidad. El riesgo de liquidez se puede presentar a través del riesgo de liquidez de fondeo y el riesgo de liquidez de mercado.</w:t>
      </w:r>
    </w:p>
    <w:p w14:paraId="64BA5CE3" w14:textId="6287F450" w:rsidR="00D31F21" w:rsidRPr="000001A2" w:rsidRDefault="00D31F21" w:rsidP="00D31F21">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w:t>
      </w:r>
      <w:r w:rsidR="00202B8E">
        <w:rPr>
          <w:rFonts w:ascii="Verdana" w:hAnsi="Verdana"/>
          <w:sz w:val="20"/>
          <w:szCs w:val="20"/>
        </w:rPr>
        <w:t>30</w:t>
      </w:r>
      <w:r w:rsidR="00CD417D">
        <w:rPr>
          <w:rFonts w:ascii="Verdana" w:hAnsi="Verdana"/>
          <w:sz w:val="20"/>
          <w:szCs w:val="20"/>
        </w:rPr>
        <w:t>8</w:t>
      </w:r>
      <w:r>
        <w:rPr>
          <w:rFonts w:ascii="Verdana" w:hAnsi="Verdana"/>
          <w:sz w:val="20"/>
          <w:szCs w:val="20"/>
        </w:rPr>
        <w:t>.</w:t>
      </w:r>
    </w:p>
    <w:p w14:paraId="5C8A6846" w14:textId="45B7B0B5" w:rsidR="00D31F21" w:rsidRPr="000209E8" w:rsidRDefault="00395EF5" w:rsidP="00D31F21">
      <w:pPr>
        <w:jc w:val="both"/>
        <w:rPr>
          <w:rFonts w:ascii="Verdana" w:hAnsi="Verdana"/>
          <w:sz w:val="20"/>
          <w:szCs w:val="20"/>
        </w:rPr>
      </w:pPr>
      <w:r w:rsidRPr="00395EF5">
        <w:rPr>
          <w:rFonts w:ascii="Verdana" w:hAnsi="Verdana"/>
          <w:sz w:val="20"/>
          <w:szCs w:val="20"/>
        </w:rPr>
        <w:t>El riesgo de liquidez de fondeo se manifiesta en la insuficiencia de activos líquidos disponibles para cumplir con los flujos de caja mencionados y/o en la necesidad de asumir costos inusuales de fondeo.</w:t>
      </w:r>
    </w:p>
    <w:p w14:paraId="44CF3047" w14:textId="704B02FE" w:rsidR="00D31F21" w:rsidRPr="000001A2" w:rsidRDefault="00D31F21" w:rsidP="00D31F21">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w:t>
      </w:r>
      <w:r w:rsidR="00202B8E">
        <w:rPr>
          <w:rFonts w:ascii="Verdana" w:hAnsi="Verdana"/>
          <w:sz w:val="20"/>
          <w:szCs w:val="20"/>
        </w:rPr>
        <w:t>30</w:t>
      </w:r>
      <w:r w:rsidR="00CD417D">
        <w:rPr>
          <w:rFonts w:ascii="Verdana" w:hAnsi="Verdana"/>
          <w:sz w:val="20"/>
          <w:szCs w:val="20"/>
        </w:rPr>
        <w:t>9</w:t>
      </w:r>
      <w:r>
        <w:rPr>
          <w:rFonts w:ascii="Verdana" w:hAnsi="Verdana"/>
          <w:sz w:val="20"/>
          <w:szCs w:val="20"/>
        </w:rPr>
        <w:t>.</w:t>
      </w:r>
    </w:p>
    <w:p w14:paraId="4043E4F5" w14:textId="2BED19DC" w:rsidR="00F009A6" w:rsidRPr="00214036" w:rsidRDefault="001D4261" w:rsidP="00F009A6">
      <w:pPr>
        <w:jc w:val="both"/>
        <w:rPr>
          <w:rFonts w:ascii="Verdana" w:hAnsi="Verdana"/>
          <w:sz w:val="20"/>
          <w:szCs w:val="20"/>
        </w:rPr>
      </w:pPr>
      <w:r w:rsidRPr="001D4261">
        <w:rPr>
          <w:rFonts w:ascii="Verdana" w:hAnsi="Verdana"/>
          <w:sz w:val="20"/>
          <w:szCs w:val="20"/>
        </w:rPr>
        <w:t>El riesgo de liquidez de mercado se presenta cuando la capacidad de la entidad para generar o deshacer posiciones financieras a precios de mercado se ve limitada bien sea porque no existe la profundidad adecuada del mercado o porque se presentan cambios drásticos en las tasas y precios.</w:t>
      </w:r>
    </w:p>
    <w:p w14:paraId="07B35EDA" w14:textId="373BAFE1" w:rsidR="00F009A6" w:rsidRPr="007735FE" w:rsidRDefault="00F009A6" w:rsidP="00F009A6">
      <w:pPr>
        <w:jc w:val="both"/>
        <w:rPr>
          <w:rFonts w:ascii="Verdana" w:hAnsi="Verdana"/>
          <w:b/>
          <w:bCs/>
          <w:sz w:val="20"/>
          <w:szCs w:val="20"/>
        </w:rPr>
      </w:pPr>
      <w:r>
        <w:rPr>
          <w:rFonts w:ascii="Verdana" w:hAnsi="Verdana"/>
          <w:b/>
          <w:bCs/>
          <w:sz w:val="20"/>
          <w:szCs w:val="20"/>
        </w:rPr>
        <w:t>Riesgo</w:t>
      </w:r>
      <w:r w:rsidR="00CE221A">
        <w:rPr>
          <w:rFonts w:ascii="Verdana" w:hAnsi="Verdana"/>
          <w:b/>
          <w:bCs/>
          <w:sz w:val="20"/>
          <w:szCs w:val="20"/>
        </w:rPr>
        <w:t>s</w:t>
      </w:r>
      <w:r>
        <w:rPr>
          <w:rFonts w:ascii="Verdana" w:hAnsi="Verdana"/>
          <w:b/>
          <w:bCs/>
          <w:sz w:val="20"/>
          <w:szCs w:val="20"/>
        </w:rPr>
        <w:t xml:space="preserve"> </w:t>
      </w:r>
      <w:r w:rsidR="00CE221A" w:rsidRPr="00CE221A">
        <w:rPr>
          <w:rFonts w:ascii="Verdana" w:hAnsi="Verdana"/>
          <w:b/>
          <w:bCs/>
          <w:sz w:val="20"/>
          <w:szCs w:val="20"/>
        </w:rPr>
        <w:t>asociados a las reservas técnicas</w:t>
      </w:r>
    </w:p>
    <w:p w14:paraId="1E3D27D1" w14:textId="3BD194E0" w:rsidR="007B01A3" w:rsidRPr="008D3A21" w:rsidRDefault="008D3A21" w:rsidP="008D3A21">
      <w:pPr>
        <w:pStyle w:val="Prrafodelista"/>
        <w:numPr>
          <w:ilvl w:val="0"/>
          <w:numId w:val="2"/>
        </w:numPr>
        <w:ind w:left="284" w:hanging="284"/>
        <w:rPr>
          <w:rFonts w:ascii="Verdana" w:hAnsi="Verdana"/>
          <w:b/>
          <w:bCs/>
          <w:sz w:val="20"/>
          <w:szCs w:val="20"/>
        </w:rPr>
      </w:pPr>
      <w:r w:rsidRPr="008D3A21">
        <w:rPr>
          <w:rFonts w:ascii="Verdana" w:hAnsi="Verdana"/>
          <w:b/>
          <w:bCs/>
          <w:sz w:val="20"/>
          <w:szCs w:val="20"/>
        </w:rPr>
        <w:t>Riesgo de insuficiencia de reservas técnicas</w:t>
      </w:r>
    </w:p>
    <w:p w14:paraId="4B5460C8" w14:textId="2599A4C1" w:rsidR="00137F97" w:rsidRPr="000001A2" w:rsidRDefault="00137F97" w:rsidP="00137F97">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.1.2.3</w:t>
      </w:r>
      <w:r w:rsidR="00CD417D">
        <w:rPr>
          <w:rFonts w:ascii="Verdana" w:hAnsi="Verdana"/>
          <w:sz w:val="20"/>
          <w:szCs w:val="20"/>
        </w:rPr>
        <w:t>10</w:t>
      </w:r>
      <w:r>
        <w:rPr>
          <w:rFonts w:ascii="Verdana" w:hAnsi="Verdana"/>
          <w:sz w:val="20"/>
          <w:szCs w:val="20"/>
        </w:rPr>
        <w:t>.</w:t>
      </w:r>
    </w:p>
    <w:p w14:paraId="09B17436" w14:textId="4A8EA1F4" w:rsidR="00137F97" w:rsidRPr="00443A04" w:rsidRDefault="00CD0313" w:rsidP="007B01A3">
      <w:pPr>
        <w:jc w:val="both"/>
        <w:rPr>
          <w:rFonts w:ascii="Verdana" w:hAnsi="Verdana"/>
          <w:sz w:val="20"/>
          <w:szCs w:val="20"/>
        </w:rPr>
      </w:pPr>
      <w:r w:rsidRPr="00CD0313">
        <w:rPr>
          <w:rFonts w:ascii="Verdana" w:hAnsi="Verdana"/>
          <w:sz w:val="20"/>
          <w:szCs w:val="20"/>
        </w:rPr>
        <w:t>Corresponde a la probabilidad de pérdida como consecuencia de una subestimación en el cálculo de las reservas técnicas y otras obligaciones contractuales (participación de utilidades, pago de beneficios garantizados, entre otros).</w:t>
      </w:r>
    </w:p>
    <w:p w14:paraId="5A64665B" w14:textId="678AE0C7" w:rsidR="007B01A3" w:rsidRPr="00CD0313" w:rsidRDefault="00626B98" w:rsidP="00C141AA">
      <w:pPr>
        <w:pStyle w:val="Prrafodelista"/>
        <w:numPr>
          <w:ilvl w:val="0"/>
          <w:numId w:val="2"/>
        </w:numPr>
        <w:ind w:left="284" w:hanging="284"/>
        <w:jc w:val="both"/>
        <w:rPr>
          <w:rFonts w:ascii="Verdana" w:hAnsi="Verdana"/>
          <w:b/>
          <w:bCs/>
          <w:sz w:val="20"/>
          <w:szCs w:val="20"/>
        </w:rPr>
      </w:pPr>
      <w:r w:rsidRPr="00626B98">
        <w:rPr>
          <w:rFonts w:ascii="Verdana" w:hAnsi="Verdana"/>
          <w:b/>
          <w:bCs/>
          <w:sz w:val="20"/>
          <w:szCs w:val="20"/>
        </w:rPr>
        <w:t>Riesgo de incremento de</w:t>
      </w:r>
      <w:r w:rsidR="0043141E">
        <w:rPr>
          <w:rFonts w:ascii="Verdana" w:hAnsi="Verdana"/>
          <w:b/>
          <w:bCs/>
          <w:sz w:val="20"/>
          <w:szCs w:val="20"/>
        </w:rPr>
        <w:t>l monto de las</w:t>
      </w:r>
      <w:r w:rsidRPr="00626B98">
        <w:rPr>
          <w:rFonts w:ascii="Verdana" w:hAnsi="Verdana"/>
          <w:b/>
          <w:bCs/>
          <w:sz w:val="20"/>
          <w:szCs w:val="20"/>
        </w:rPr>
        <w:t xml:space="preserve"> reservas técnicas por factores de mercado</w:t>
      </w:r>
    </w:p>
    <w:p w14:paraId="7F844670" w14:textId="216F5182" w:rsidR="00CD0313" w:rsidRPr="000001A2" w:rsidRDefault="00CD0313" w:rsidP="00CD0313">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.1.2.3</w:t>
      </w:r>
      <w:r w:rsidR="00CD417D">
        <w:rPr>
          <w:rFonts w:ascii="Verdana" w:hAnsi="Verdana"/>
          <w:sz w:val="20"/>
          <w:szCs w:val="20"/>
        </w:rPr>
        <w:t>11</w:t>
      </w:r>
      <w:r>
        <w:rPr>
          <w:rFonts w:ascii="Verdana" w:hAnsi="Verdana"/>
          <w:sz w:val="20"/>
          <w:szCs w:val="20"/>
        </w:rPr>
        <w:t>.</w:t>
      </w:r>
    </w:p>
    <w:p w14:paraId="35845C3E" w14:textId="6621AEBE" w:rsidR="001243D4" w:rsidRPr="00214036" w:rsidRDefault="002449D7" w:rsidP="001243D4">
      <w:pPr>
        <w:jc w:val="both"/>
        <w:rPr>
          <w:rFonts w:ascii="Verdana" w:hAnsi="Verdana"/>
          <w:sz w:val="20"/>
          <w:szCs w:val="20"/>
        </w:rPr>
      </w:pPr>
      <w:r w:rsidRPr="002449D7">
        <w:rPr>
          <w:rFonts w:ascii="Verdana" w:hAnsi="Verdana"/>
          <w:sz w:val="20"/>
          <w:szCs w:val="20"/>
        </w:rPr>
        <w:t>Se entiende como la posibilidad de incurrir en pérdidas derivadas del incremento no esperado en el monto de sus obligaciones con asegurados, reaseguradores, intermediarios y otros agentes externos a causa de variaciones en las tasas de interés, en la tasa de devaluación o cualquier otro parámetro de referencia</w:t>
      </w:r>
      <w:r>
        <w:rPr>
          <w:rFonts w:ascii="Verdana" w:hAnsi="Verdana"/>
          <w:sz w:val="20"/>
          <w:szCs w:val="20"/>
        </w:rPr>
        <w:t>.</w:t>
      </w:r>
    </w:p>
    <w:p w14:paraId="31D3758A" w14:textId="20553BA9" w:rsidR="001243D4" w:rsidRPr="007735FE" w:rsidRDefault="001243D4" w:rsidP="001243D4">
      <w:pPr>
        <w:jc w:val="both"/>
        <w:rPr>
          <w:rFonts w:ascii="Verdana" w:hAnsi="Verdana"/>
          <w:b/>
          <w:bCs/>
          <w:sz w:val="20"/>
          <w:szCs w:val="20"/>
        </w:rPr>
      </w:pPr>
      <w:r>
        <w:rPr>
          <w:rFonts w:ascii="Verdana" w:hAnsi="Verdana"/>
          <w:b/>
          <w:bCs/>
          <w:sz w:val="20"/>
          <w:szCs w:val="20"/>
        </w:rPr>
        <w:t xml:space="preserve">Riesgo </w:t>
      </w:r>
      <w:r w:rsidR="001B48CF" w:rsidRPr="001B48CF">
        <w:rPr>
          <w:rFonts w:ascii="Verdana" w:hAnsi="Verdana"/>
          <w:b/>
          <w:bCs/>
          <w:sz w:val="20"/>
          <w:szCs w:val="20"/>
        </w:rPr>
        <w:t>de suscripción</w:t>
      </w:r>
    </w:p>
    <w:p w14:paraId="1850FFC2" w14:textId="1E0AB598" w:rsidR="001243D4" w:rsidRPr="000001A2" w:rsidRDefault="001243D4" w:rsidP="001243D4">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.1.2.3</w:t>
      </w:r>
      <w:r w:rsidR="008D370D">
        <w:rPr>
          <w:rFonts w:ascii="Verdana" w:hAnsi="Verdana"/>
          <w:sz w:val="20"/>
          <w:szCs w:val="20"/>
        </w:rPr>
        <w:t>1</w:t>
      </w:r>
      <w:r w:rsidR="00CD417D">
        <w:rPr>
          <w:rFonts w:ascii="Verdana" w:hAnsi="Verdana"/>
          <w:sz w:val="20"/>
          <w:szCs w:val="20"/>
        </w:rPr>
        <w:t>2</w:t>
      </w:r>
      <w:r>
        <w:rPr>
          <w:rFonts w:ascii="Verdana" w:hAnsi="Verdana"/>
          <w:sz w:val="20"/>
          <w:szCs w:val="20"/>
        </w:rPr>
        <w:t>.</w:t>
      </w:r>
    </w:p>
    <w:p w14:paraId="642CBFC6" w14:textId="58A795DF" w:rsidR="000845B9" w:rsidRPr="005B64E4" w:rsidRDefault="00003F6D" w:rsidP="000845B9">
      <w:pPr>
        <w:jc w:val="both"/>
        <w:rPr>
          <w:rFonts w:ascii="Verdana" w:hAnsi="Verdana"/>
          <w:sz w:val="20"/>
          <w:szCs w:val="20"/>
        </w:rPr>
      </w:pPr>
      <w:r w:rsidRPr="00003F6D">
        <w:rPr>
          <w:rFonts w:ascii="Verdana" w:hAnsi="Verdana"/>
          <w:sz w:val="20"/>
          <w:szCs w:val="20"/>
        </w:rPr>
        <w:t xml:space="preserve">Se entiende como la posibilidad de incurrir en pérdidas como consecuencia de políticas y prácticas inadecuadas en el diseño de productos o en la colocación de </w:t>
      </w:r>
      <w:proofErr w:type="gramStart"/>
      <w:r w:rsidRPr="00003F6D">
        <w:rPr>
          <w:rFonts w:ascii="Verdana" w:hAnsi="Verdana"/>
          <w:sz w:val="20"/>
          <w:szCs w:val="20"/>
        </w:rPr>
        <w:t>los mismos</w:t>
      </w:r>
      <w:proofErr w:type="gramEnd"/>
      <w:r w:rsidRPr="00003F6D">
        <w:rPr>
          <w:rFonts w:ascii="Verdana" w:hAnsi="Verdana"/>
          <w:sz w:val="20"/>
          <w:szCs w:val="20"/>
        </w:rPr>
        <w:t>. Dicha categoría de riesgo se puede clasificar en los siguientes tipos</w:t>
      </w:r>
      <w:r w:rsidR="00E30B38">
        <w:rPr>
          <w:rFonts w:ascii="Verdana" w:hAnsi="Verdana"/>
          <w:sz w:val="20"/>
          <w:szCs w:val="20"/>
        </w:rPr>
        <w:t>:</w:t>
      </w:r>
    </w:p>
    <w:p w14:paraId="23C5EE9D" w14:textId="6DF6BEF4" w:rsidR="000845B9" w:rsidRPr="008D3A21" w:rsidRDefault="000845B9" w:rsidP="000845B9">
      <w:pPr>
        <w:pStyle w:val="Prrafodelista"/>
        <w:numPr>
          <w:ilvl w:val="0"/>
          <w:numId w:val="2"/>
        </w:numPr>
        <w:ind w:left="284" w:hanging="284"/>
        <w:rPr>
          <w:rFonts w:ascii="Verdana" w:hAnsi="Verdana"/>
          <w:b/>
          <w:bCs/>
          <w:sz w:val="20"/>
          <w:szCs w:val="20"/>
        </w:rPr>
      </w:pPr>
      <w:r w:rsidRPr="008D3A21">
        <w:rPr>
          <w:rFonts w:ascii="Verdana" w:hAnsi="Verdana"/>
          <w:b/>
          <w:bCs/>
          <w:sz w:val="20"/>
          <w:szCs w:val="20"/>
        </w:rPr>
        <w:lastRenderedPageBreak/>
        <w:t xml:space="preserve">Riesgo </w:t>
      </w:r>
      <w:r w:rsidR="00C74DDB" w:rsidRPr="00C74DDB">
        <w:rPr>
          <w:rFonts w:ascii="Verdana" w:hAnsi="Verdana"/>
          <w:b/>
          <w:bCs/>
          <w:sz w:val="20"/>
          <w:szCs w:val="20"/>
        </w:rPr>
        <w:t>de tarifación</w:t>
      </w:r>
    </w:p>
    <w:p w14:paraId="7B5FD526" w14:textId="482F3F4C" w:rsidR="000845B9" w:rsidRPr="000001A2" w:rsidRDefault="000845B9" w:rsidP="000845B9">
      <w:pPr>
        <w:spacing w:after="0"/>
        <w:jc w:val="both"/>
        <w:rPr>
          <w:rFonts w:ascii="Verdana" w:hAnsi="Verdana"/>
          <w:sz w:val="20"/>
          <w:szCs w:val="20"/>
        </w:rPr>
      </w:pPr>
      <w:r w:rsidRPr="003F3D3E">
        <w:rPr>
          <w:rFonts w:ascii="Verdana" w:hAnsi="Verdana"/>
          <w:sz w:val="20"/>
          <w:szCs w:val="20"/>
        </w:rPr>
        <w:t>1</w:t>
      </w:r>
      <w:r>
        <w:rPr>
          <w:rFonts w:ascii="Verdana" w:hAnsi="Verdana"/>
          <w:sz w:val="20"/>
          <w:szCs w:val="20"/>
        </w:rPr>
        <w:t>.1.2.3</w:t>
      </w:r>
      <w:r w:rsidR="001620C3">
        <w:rPr>
          <w:rFonts w:ascii="Verdana" w:hAnsi="Verdana"/>
          <w:sz w:val="20"/>
          <w:szCs w:val="20"/>
        </w:rPr>
        <w:t>1</w:t>
      </w:r>
      <w:r w:rsidR="00CD417D">
        <w:rPr>
          <w:rFonts w:ascii="Verdana" w:hAnsi="Verdana"/>
          <w:sz w:val="20"/>
          <w:szCs w:val="20"/>
        </w:rPr>
        <w:t>3</w:t>
      </w:r>
      <w:r>
        <w:rPr>
          <w:rFonts w:ascii="Verdana" w:hAnsi="Verdana"/>
          <w:sz w:val="20"/>
          <w:szCs w:val="20"/>
        </w:rPr>
        <w:t>.</w:t>
      </w:r>
    </w:p>
    <w:p w14:paraId="26810406" w14:textId="2361E728" w:rsidR="000845B9" w:rsidRPr="00443A04" w:rsidRDefault="00A610D3" w:rsidP="000845B9">
      <w:pPr>
        <w:jc w:val="both"/>
        <w:rPr>
          <w:rFonts w:ascii="Verdana" w:hAnsi="Verdana"/>
          <w:sz w:val="20"/>
          <w:szCs w:val="20"/>
        </w:rPr>
      </w:pPr>
      <w:r w:rsidRPr="00A610D3">
        <w:rPr>
          <w:rFonts w:ascii="Verdana" w:hAnsi="Verdana"/>
          <w:sz w:val="20"/>
          <w:szCs w:val="20"/>
        </w:rPr>
        <w:t>Corresponde a la probabilidad de pérdida como consecuencia de errores en el cálculo de primas al punto que resulten insuficientes para cubrir los siniestros actuales y futuros, los gastos administrativos y la rentabilidad esperada</w:t>
      </w:r>
      <w:r>
        <w:rPr>
          <w:rFonts w:ascii="Verdana" w:hAnsi="Verdana"/>
          <w:sz w:val="20"/>
          <w:szCs w:val="20"/>
        </w:rPr>
        <w:t>.</w:t>
      </w:r>
    </w:p>
    <w:p w14:paraId="48149629" w14:textId="77777777" w:rsidR="000B3B3E" w:rsidRPr="000B3B3E" w:rsidRDefault="000845B9" w:rsidP="000B3B3E">
      <w:pPr>
        <w:pStyle w:val="Prrafodelista"/>
        <w:numPr>
          <w:ilvl w:val="0"/>
          <w:numId w:val="2"/>
        </w:numPr>
        <w:ind w:left="284" w:hanging="284"/>
        <w:rPr>
          <w:rFonts w:ascii="Verdana" w:hAnsi="Verdana"/>
          <w:b/>
          <w:bCs/>
          <w:sz w:val="20"/>
          <w:szCs w:val="20"/>
        </w:rPr>
      </w:pPr>
      <w:r w:rsidRPr="000B3B3E">
        <w:rPr>
          <w:rFonts w:ascii="Verdana" w:hAnsi="Verdana"/>
          <w:b/>
          <w:bCs/>
          <w:sz w:val="20"/>
          <w:szCs w:val="20"/>
        </w:rPr>
        <w:t xml:space="preserve">Riesgo </w:t>
      </w:r>
      <w:r w:rsidR="000B3B3E" w:rsidRPr="000B3B3E">
        <w:rPr>
          <w:rFonts w:ascii="Verdana" w:hAnsi="Verdana"/>
          <w:b/>
          <w:bCs/>
          <w:sz w:val="20"/>
          <w:szCs w:val="20"/>
        </w:rPr>
        <w:t>de descuentos sobre primas</w:t>
      </w:r>
    </w:p>
    <w:p w14:paraId="6DB3192E" w14:textId="1A1FFE44" w:rsidR="000845B9" w:rsidRPr="000B3B3E" w:rsidRDefault="000845B9" w:rsidP="000B3B3E">
      <w:pPr>
        <w:spacing w:after="0"/>
        <w:jc w:val="both"/>
        <w:rPr>
          <w:rFonts w:ascii="Verdana" w:hAnsi="Verdana"/>
          <w:sz w:val="20"/>
          <w:szCs w:val="20"/>
        </w:rPr>
      </w:pPr>
      <w:r w:rsidRPr="000B3B3E">
        <w:rPr>
          <w:rFonts w:ascii="Verdana" w:hAnsi="Verdana"/>
          <w:sz w:val="20"/>
          <w:szCs w:val="20"/>
        </w:rPr>
        <w:t>1.1.2.3</w:t>
      </w:r>
      <w:r w:rsidR="001620C3">
        <w:rPr>
          <w:rFonts w:ascii="Verdana" w:hAnsi="Verdana"/>
          <w:sz w:val="20"/>
          <w:szCs w:val="20"/>
        </w:rPr>
        <w:t>1</w:t>
      </w:r>
      <w:r w:rsidR="00CD417D">
        <w:rPr>
          <w:rFonts w:ascii="Verdana" w:hAnsi="Verdana"/>
          <w:sz w:val="20"/>
          <w:szCs w:val="20"/>
        </w:rPr>
        <w:t>4</w:t>
      </w:r>
      <w:r w:rsidRPr="000B3B3E">
        <w:rPr>
          <w:rFonts w:ascii="Verdana" w:hAnsi="Verdana"/>
          <w:sz w:val="20"/>
          <w:szCs w:val="20"/>
        </w:rPr>
        <w:t>.</w:t>
      </w:r>
    </w:p>
    <w:p w14:paraId="62378ED7" w14:textId="3531F2EF" w:rsidR="00757504" w:rsidRPr="00443A04" w:rsidRDefault="001620C3" w:rsidP="00757504">
      <w:pPr>
        <w:jc w:val="both"/>
        <w:rPr>
          <w:rFonts w:ascii="Verdana" w:hAnsi="Verdana"/>
          <w:sz w:val="20"/>
          <w:szCs w:val="20"/>
        </w:rPr>
      </w:pPr>
      <w:r w:rsidRPr="001620C3">
        <w:rPr>
          <w:rFonts w:ascii="Verdana" w:hAnsi="Verdana"/>
          <w:sz w:val="20"/>
          <w:szCs w:val="20"/>
        </w:rPr>
        <w:t>Corresponde a la probabilidad de pérdida en que puede incurrir una entidad como consecuencia del otorgamiento inadecuado de descuentos sobre primas.</w:t>
      </w:r>
    </w:p>
    <w:p w14:paraId="086FCAA4" w14:textId="5DB9922A" w:rsidR="00757504" w:rsidRPr="000B3B3E" w:rsidRDefault="00757504" w:rsidP="00757504">
      <w:pPr>
        <w:pStyle w:val="Prrafodelista"/>
        <w:numPr>
          <w:ilvl w:val="0"/>
          <w:numId w:val="2"/>
        </w:numPr>
        <w:ind w:left="284" w:hanging="284"/>
        <w:rPr>
          <w:rFonts w:ascii="Verdana" w:hAnsi="Verdana"/>
          <w:b/>
          <w:bCs/>
          <w:sz w:val="20"/>
          <w:szCs w:val="20"/>
        </w:rPr>
      </w:pPr>
      <w:r w:rsidRPr="000B3B3E">
        <w:rPr>
          <w:rFonts w:ascii="Verdana" w:hAnsi="Verdana"/>
          <w:b/>
          <w:bCs/>
          <w:sz w:val="20"/>
          <w:szCs w:val="20"/>
        </w:rPr>
        <w:t xml:space="preserve">Riesgo </w:t>
      </w:r>
      <w:r w:rsidR="005613CC" w:rsidRPr="005613CC">
        <w:rPr>
          <w:rFonts w:ascii="Verdana" w:hAnsi="Verdana"/>
          <w:b/>
          <w:bCs/>
          <w:sz w:val="20"/>
          <w:szCs w:val="20"/>
        </w:rPr>
        <w:t>de diferencias en condiciones</w:t>
      </w:r>
    </w:p>
    <w:p w14:paraId="43BDA4B5" w14:textId="7B9BFB7C" w:rsidR="00757504" w:rsidRPr="000B3B3E" w:rsidRDefault="00757504" w:rsidP="00757504">
      <w:pPr>
        <w:spacing w:after="0"/>
        <w:jc w:val="both"/>
        <w:rPr>
          <w:rFonts w:ascii="Verdana" w:hAnsi="Verdana"/>
          <w:sz w:val="20"/>
          <w:szCs w:val="20"/>
        </w:rPr>
      </w:pPr>
      <w:r w:rsidRPr="000B3B3E">
        <w:rPr>
          <w:rFonts w:ascii="Verdana" w:hAnsi="Verdana"/>
          <w:sz w:val="20"/>
          <w:szCs w:val="20"/>
        </w:rPr>
        <w:t>1.1.2.3</w:t>
      </w:r>
      <w:r>
        <w:rPr>
          <w:rFonts w:ascii="Verdana" w:hAnsi="Verdana"/>
          <w:sz w:val="20"/>
          <w:szCs w:val="20"/>
        </w:rPr>
        <w:t>1</w:t>
      </w:r>
      <w:r w:rsidR="00CD417D">
        <w:rPr>
          <w:rFonts w:ascii="Verdana" w:hAnsi="Verdana"/>
          <w:sz w:val="20"/>
          <w:szCs w:val="20"/>
        </w:rPr>
        <w:t>5</w:t>
      </w:r>
      <w:r w:rsidRPr="000B3B3E">
        <w:rPr>
          <w:rFonts w:ascii="Verdana" w:hAnsi="Verdana"/>
          <w:sz w:val="20"/>
          <w:szCs w:val="20"/>
        </w:rPr>
        <w:t>.</w:t>
      </w:r>
    </w:p>
    <w:p w14:paraId="5D649742" w14:textId="2AAC73CF" w:rsidR="00757504" w:rsidRPr="00214036" w:rsidRDefault="001D32F8" w:rsidP="00757504">
      <w:pPr>
        <w:jc w:val="both"/>
        <w:rPr>
          <w:rFonts w:ascii="Verdana" w:hAnsi="Verdana"/>
          <w:sz w:val="20"/>
          <w:szCs w:val="20"/>
        </w:rPr>
      </w:pPr>
      <w:r w:rsidRPr="001D32F8">
        <w:rPr>
          <w:rFonts w:ascii="Verdana" w:hAnsi="Verdana"/>
          <w:sz w:val="20"/>
          <w:szCs w:val="20"/>
        </w:rPr>
        <w:t>Corresponde a la probabilidad de pérdida que se genera como consecuencia de las diferencias entre las condiciones originalmente aceptadas de los tomadores de pólizas y las aceptadas a su vez por los reaseguradores de la entidad.</w:t>
      </w:r>
      <w:r w:rsidR="00F11307">
        <w:rPr>
          <w:rFonts w:ascii="Verdana" w:hAnsi="Verdana"/>
          <w:sz w:val="20"/>
          <w:szCs w:val="20"/>
        </w:rPr>
        <w:t xml:space="preserve"> El riesgo de diferencia</w:t>
      </w:r>
      <w:r w:rsidR="007E4559">
        <w:rPr>
          <w:rFonts w:ascii="Verdana" w:hAnsi="Verdana"/>
          <w:sz w:val="20"/>
          <w:szCs w:val="20"/>
        </w:rPr>
        <w:t>s en condiciones corresponde a u</w:t>
      </w:r>
      <w:r w:rsidR="00B24D9E">
        <w:rPr>
          <w:rFonts w:ascii="Verdana" w:hAnsi="Verdana"/>
          <w:sz w:val="20"/>
          <w:szCs w:val="20"/>
        </w:rPr>
        <w:t>n tipo de riesgo operacional, en desarrollo de lo previsto en el párrafo 1.1.2</w:t>
      </w:r>
      <w:r w:rsidR="00C82F2A">
        <w:rPr>
          <w:rFonts w:ascii="Verdana" w:hAnsi="Verdana"/>
          <w:sz w:val="20"/>
          <w:szCs w:val="20"/>
        </w:rPr>
        <w:t>.114. y 1.1.2.11</w:t>
      </w:r>
      <w:r w:rsidR="00A516BE">
        <w:rPr>
          <w:rFonts w:ascii="Verdana" w:hAnsi="Verdana"/>
          <w:sz w:val="20"/>
          <w:szCs w:val="20"/>
        </w:rPr>
        <w:t>5. de la CBF.</w:t>
      </w:r>
    </w:p>
    <w:p w14:paraId="65FEC97A" w14:textId="0A0302F1" w:rsidR="008C671E" w:rsidRDefault="005701E0" w:rsidP="005701E0">
      <w:pPr>
        <w:spacing w:after="0"/>
        <w:jc w:val="both"/>
        <w:rPr>
          <w:rFonts w:ascii="Verdana" w:hAnsi="Verdana"/>
          <w:sz w:val="20"/>
          <w:szCs w:val="20"/>
        </w:rPr>
      </w:pPr>
      <w:r w:rsidRPr="000B3B3E">
        <w:rPr>
          <w:rFonts w:ascii="Verdana" w:hAnsi="Verdana"/>
          <w:sz w:val="20"/>
          <w:szCs w:val="20"/>
        </w:rPr>
        <w:t>1.1.2.3</w:t>
      </w:r>
      <w:r>
        <w:rPr>
          <w:rFonts w:ascii="Verdana" w:hAnsi="Verdana"/>
          <w:sz w:val="20"/>
          <w:szCs w:val="20"/>
        </w:rPr>
        <w:t>1</w:t>
      </w:r>
      <w:r w:rsidR="00CD417D">
        <w:rPr>
          <w:rFonts w:ascii="Verdana" w:hAnsi="Verdana"/>
          <w:sz w:val="20"/>
          <w:szCs w:val="20"/>
        </w:rPr>
        <w:t>6</w:t>
      </w:r>
      <w:r w:rsidRPr="000B3B3E">
        <w:rPr>
          <w:rFonts w:ascii="Verdana" w:hAnsi="Verdana"/>
          <w:sz w:val="20"/>
          <w:szCs w:val="20"/>
        </w:rPr>
        <w:t>.</w:t>
      </w:r>
    </w:p>
    <w:p w14:paraId="0BF3B3CB" w14:textId="55269FAF" w:rsidR="008C671E" w:rsidRPr="008C671E" w:rsidRDefault="008C671E" w:rsidP="008C671E">
      <w:pPr>
        <w:pStyle w:val="paragraph"/>
        <w:spacing w:before="0" w:beforeAutospacing="0" w:after="0" w:afterAutospacing="0"/>
        <w:jc w:val="both"/>
        <w:textAlignment w:val="baseline"/>
        <w:rPr>
          <w:rFonts w:ascii="Verdana" w:eastAsiaTheme="minorHAnsi" w:hAnsi="Verdana" w:cstheme="minorBidi"/>
          <w:kern w:val="2"/>
          <w:sz w:val="20"/>
          <w:szCs w:val="20"/>
          <w:lang w:eastAsia="en-US"/>
          <w14:ligatures w14:val="standardContextual"/>
        </w:rPr>
      </w:pPr>
      <w:r w:rsidRPr="008C671E">
        <w:rPr>
          <w:rFonts w:ascii="Verdana" w:eastAsiaTheme="minorHAnsi" w:hAnsi="Verdana" w:cstheme="minorBidi"/>
          <w:kern w:val="2"/>
          <w:sz w:val="20"/>
          <w:szCs w:val="20"/>
          <w:lang w:eastAsia="en-US"/>
          <w14:ligatures w14:val="standardContextual"/>
        </w:rPr>
        <w:t xml:space="preserve">Para la gestión de los riesgos a los que </w:t>
      </w:r>
      <w:r>
        <w:rPr>
          <w:rFonts w:ascii="Verdana" w:eastAsiaTheme="minorHAnsi" w:hAnsi="Verdana" w:cstheme="minorBidi"/>
          <w:kern w:val="2"/>
          <w:sz w:val="20"/>
          <w:szCs w:val="20"/>
          <w:lang w:eastAsia="en-US"/>
          <w14:ligatures w14:val="standardContextual"/>
        </w:rPr>
        <w:t xml:space="preserve">la entidad </w:t>
      </w:r>
      <w:r w:rsidRPr="008C671E">
        <w:rPr>
          <w:rFonts w:ascii="Verdana" w:eastAsiaTheme="minorHAnsi" w:hAnsi="Verdana" w:cstheme="minorBidi"/>
          <w:kern w:val="2"/>
          <w:sz w:val="20"/>
          <w:szCs w:val="20"/>
          <w:lang w:eastAsia="en-US"/>
          <w14:ligatures w14:val="standardContextual"/>
        </w:rPr>
        <w:t>está expuesta</w:t>
      </w:r>
      <w:r w:rsidR="00776093">
        <w:rPr>
          <w:rFonts w:ascii="Verdana" w:eastAsiaTheme="minorHAnsi" w:hAnsi="Verdana" w:cstheme="minorBidi"/>
          <w:kern w:val="2"/>
          <w:sz w:val="20"/>
          <w:szCs w:val="20"/>
          <w:lang w:eastAsia="en-US"/>
          <w14:ligatures w14:val="standardContextual"/>
        </w:rPr>
        <w:t xml:space="preserve">, </w:t>
      </w:r>
      <w:r w:rsidRPr="008C671E">
        <w:rPr>
          <w:rFonts w:ascii="Verdana" w:eastAsiaTheme="minorHAnsi" w:hAnsi="Verdana" w:cstheme="minorBidi"/>
          <w:kern w:val="2"/>
          <w:sz w:val="20"/>
          <w:szCs w:val="20"/>
          <w:lang w:eastAsia="en-US"/>
          <w14:ligatures w14:val="standardContextual"/>
        </w:rPr>
        <w:t xml:space="preserve">debe establecer las metodologías, los procesos y los mecanismos que empleará para desarrollar las etapas de identificación, medición, control y monitoreo de </w:t>
      </w:r>
      <w:proofErr w:type="gramStart"/>
      <w:r w:rsidRPr="008C671E">
        <w:rPr>
          <w:rFonts w:ascii="Verdana" w:eastAsiaTheme="minorHAnsi" w:hAnsi="Verdana" w:cstheme="minorBidi"/>
          <w:kern w:val="2"/>
          <w:sz w:val="20"/>
          <w:szCs w:val="20"/>
          <w:lang w:eastAsia="en-US"/>
          <w14:ligatures w14:val="standardContextual"/>
        </w:rPr>
        <w:t>los mismos</w:t>
      </w:r>
      <w:proofErr w:type="gramEnd"/>
      <w:r w:rsidRPr="008C671E">
        <w:rPr>
          <w:rFonts w:ascii="Verdana" w:eastAsiaTheme="minorHAnsi" w:hAnsi="Verdana" w:cstheme="minorBidi"/>
          <w:kern w:val="2"/>
          <w:sz w:val="20"/>
          <w:szCs w:val="20"/>
          <w:lang w:eastAsia="en-US"/>
          <w14:ligatures w14:val="standardContextual"/>
        </w:rPr>
        <w:t>. Igualmente, debe adoptar los procesos y mecanismos que le permitan verificar el cumplimiento de las medidas de monitoreo y control adoptadas.</w:t>
      </w:r>
    </w:p>
    <w:p w14:paraId="64EDD52F" w14:textId="77777777" w:rsidR="008C671E" w:rsidRPr="000B3B3E" w:rsidRDefault="008C671E" w:rsidP="005701E0">
      <w:pPr>
        <w:spacing w:after="0"/>
        <w:jc w:val="both"/>
        <w:rPr>
          <w:rFonts w:ascii="Verdana" w:hAnsi="Verdana"/>
          <w:sz w:val="20"/>
          <w:szCs w:val="20"/>
        </w:rPr>
      </w:pPr>
    </w:p>
    <w:p w14:paraId="6DB026EE" w14:textId="380F71C2" w:rsidR="00881802" w:rsidRDefault="00881802" w:rsidP="005701E0">
      <w:pPr>
        <w:jc w:val="both"/>
        <w:rPr>
          <w:rFonts w:ascii="Verdana" w:hAnsi="Verdana"/>
          <w:sz w:val="20"/>
          <w:szCs w:val="20"/>
        </w:rPr>
      </w:pPr>
    </w:p>
    <w:p w14:paraId="56C03942" w14:textId="77777777" w:rsidR="00881802" w:rsidRPr="00214036" w:rsidRDefault="00881802" w:rsidP="005701E0">
      <w:pPr>
        <w:jc w:val="both"/>
        <w:rPr>
          <w:rFonts w:ascii="Verdana" w:hAnsi="Verdana"/>
          <w:sz w:val="20"/>
          <w:szCs w:val="20"/>
        </w:rPr>
      </w:pPr>
    </w:p>
    <w:p w14:paraId="6EE69969" w14:textId="396DB21A" w:rsidR="00A07907" w:rsidRDefault="00A07907">
      <w:pPr>
        <w:rPr>
          <w:rFonts w:ascii="Verdana" w:hAnsi="Verdana"/>
          <w:sz w:val="20"/>
          <w:szCs w:val="20"/>
        </w:rPr>
      </w:pPr>
      <w:r>
        <w:rPr>
          <w:rFonts w:ascii="Verdana" w:hAnsi="Verdana"/>
          <w:sz w:val="20"/>
          <w:szCs w:val="20"/>
        </w:rPr>
        <w:br w:type="page"/>
      </w:r>
    </w:p>
    <w:p w14:paraId="3DFC6A29" w14:textId="4374D953" w:rsidR="00A07907" w:rsidRDefault="00A07907" w:rsidP="00A07907">
      <w:pPr>
        <w:rPr>
          <w:rFonts w:ascii="Verdana" w:hAnsi="Verdana"/>
          <w:b/>
          <w:bCs/>
          <w:sz w:val="20"/>
          <w:szCs w:val="20"/>
        </w:rPr>
      </w:pPr>
      <w:r>
        <w:rPr>
          <w:rFonts w:ascii="Verdana" w:hAnsi="Verdana"/>
          <w:b/>
          <w:bCs/>
          <w:sz w:val="20"/>
          <w:szCs w:val="20"/>
        </w:rPr>
        <w:lastRenderedPageBreak/>
        <w:t xml:space="preserve">GESTIÓN DEL </w:t>
      </w:r>
      <w:r w:rsidR="00200A27" w:rsidRPr="00200A27">
        <w:rPr>
          <w:rFonts w:ascii="Verdana" w:hAnsi="Verdana"/>
          <w:b/>
          <w:bCs/>
          <w:sz w:val="20"/>
          <w:szCs w:val="20"/>
        </w:rPr>
        <w:t>RIESGO DE TASA DE INTERÉS DEL LIBRO BANCARIO</w:t>
      </w:r>
    </w:p>
    <w:p w14:paraId="17817439" w14:textId="77777777" w:rsidR="00A07907" w:rsidRDefault="00A07907" w:rsidP="00A07907">
      <w:pPr>
        <w:spacing w:after="0"/>
        <w:jc w:val="both"/>
        <w:rPr>
          <w:rFonts w:ascii="Verdana" w:hAnsi="Verdana"/>
          <w:sz w:val="20"/>
          <w:szCs w:val="20"/>
        </w:rPr>
      </w:pPr>
    </w:p>
    <w:p w14:paraId="3C734D69" w14:textId="37CDD975" w:rsidR="00A07907" w:rsidRPr="007735FE" w:rsidRDefault="00A07907" w:rsidP="00A07907">
      <w:pPr>
        <w:jc w:val="both"/>
        <w:rPr>
          <w:rFonts w:ascii="Verdana" w:hAnsi="Verdana"/>
          <w:b/>
          <w:bCs/>
          <w:sz w:val="20"/>
          <w:szCs w:val="20"/>
        </w:rPr>
      </w:pPr>
      <w:r>
        <w:rPr>
          <w:rFonts w:ascii="Verdana" w:hAnsi="Verdana"/>
          <w:b/>
          <w:bCs/>
          <w:sz w:val="20"/>
          <w:szCs w:val="20"/>
        </w:rPr>
        <w:t xml:space="preserve">Riesgo </w:t>
      </w:r>
      <w:r w:rsidRPr="0069214A">
        <w:rPr>
          <w:rFonts w:ascii="Verdana" w:hAnsi="Verdana"/>
          <w:b/>
          <w:bCs/>
          <w:sz w:val="20"/>
          <w:szCs w:val="20"/>
        </w:rPr>
        <w:t xml:space="preserve">de </w:t>
      </w:r>
      <w:r w:rsidR="0074323E">
        <w:rPr>
          <w:rFonts w:ascii="Verdana" w:hAnsi="Verdana"/>
          <w:b/>
          <w:bCs/>
          <w:sz w:val="20"/>
          <w:szCs w:val="20"/>
        </w:rPr>
        <w:t>tasa de interés del libro bancario</w:t>
      </w:r>
    </w:p>
    <w:p w14:paraId="0B4AF4FE" w14:textId="2C92EDBA" w:rsidR="0074323E" w:rsidRPr="000001A2" w:rsidRDefault="00A07907" w:rsidP="0074323E">
      <w:pPr>
        <w:spacing w:after="0"/>
        <w:jc w:val="both"/>
        <w:rPr>
          <w:rFonts w:ascii="Verdana" w:hAnsi="Verdana"/>
          <w:sz w:val="20"/>
          <w:szCs w:val="20"/>
        </w:rPr>
      </w:pPr>
      <w:r>
        <w:rPr>
          <w:rFonts w:ascii="Verdana" w:hAnsi="Verdana"/>
          <w:sz w:val="20"/>
          <w:szCs w:val="20"/>
        </w:rPr>
        <w:t>1.1.2.3</w:t>
      </w:r>
      <w:r w:rsidR="000E6273">
        <w:rPr>
          <w:rFonts w:ascii="Verdana" w:hAnsi="Verdana"/>
          <w:sz w:val="20"/>
          <w:szCs w:val="20"/>
        </w:rPr>
        <w:t>1</w:t>
      </w:r>
      <w:r w:rsidR="00CD417D">
        <w:rPr>
          <w:rFonts w:ascii="Verdana" w:hAnsi="Verdana"/>
          <w:sz w:val="20"/>
          <w:szCs w:val="20"/>
        </w:rPr>
        <w:t>7</w:t>
      </w:r>
      <w:r>
        <w:rPr>
          <w:rFonts w:ascii="Verdana" w:hAnsi="Verdana"/>
          <w:sz w:val="20"/>
          <w:szCs w:val="20"/>
        </w:rPr>
        <w:t>.</w:t>
      </w:r>
      <w:r w:rsidR="0074323E" w:rsidRPr="0074323E">
        <w:rPr>
          <w:rFonts w:ascii="Verdana" w:hAnsi="Verdana"/>
          <w:sz w:val="20"/>
          <w:szCs w:val="20"/>
        </w:rPr>
        <w:t xml:space="preserve"> </w:t>
      </w:r>
    </w:p>
    <w:p w14:paraId="55A55C0F" w14:textId="666FABC7" w:rsidR="0074323E" w:rsidRPr="00214036" w:rsidRDefault="000E6273" w:rsidP="0074323E">
      <w:pPr>
        <w:jc w:val="both"/>
        <w:rPr>
          <w:rFonts w:ascii="Verdana" w:hAnsi="Verdana"/>
          <w:sz w:val="20"/>
          <w:szCs w:val="20"/>
        </w:rPr>
      </w:pPr>
      <w:r w:rsidRPr="000E6273">
        <w:rPr>
          <w:rFonts w:ascii="Verdana" w:hAnsi="Verdana"/>
          <w:sz w:val="20"/>
          <w:szCs w:val="20"/>
        </w:rPr>
        <w:t>El Riesgo de Tasa de Interés del Libro Bancario (RTILB) se refiere al riesgo actual o prospectivo para el capital y las ganancias de la entidad que surge de movimientos adversos en las tasas de interés que afecta las posiciones del libro bancario.</w:t>
      </w:r>
    </w:p>
    <w:p w14:paraId="21C5AF85" w14:textId="4FD27665" w:rsidR="00231961" w:rsidRPr="000B3B3E" w:rsidRDefault="00231961" w:rsidP="00231961">
      <w:pPr>
        <w:spacing w:after="0"/>
        <w:jc w:val="both"/>
        <w:rPr>
          <w:rFonts w:ascii="Verdana" w:hAnsi="Verdana"/>
          <w:sz w:val="20"/>
          <w:szCs w:val="20"/>
        </w:rPr>
      </w:pPr>
      <w:r w:rsidRPr="000B3B3E">
        <w:rPr>
          <w:rFonts w:ascii="Verdana" w:hAnsi="Verdana"/>
          <w:sz w:val="20"/>
          <w:szCs w:val="20"/>
        </w:rPr>
        <w:t>1.1.2.3</w:t>
      </w:r>
      <w:r>
        <w:rPr>
          <w:rFonts w:ascii="Verdana" w:hAnsi="Verdana"/>
          <w:sz w:val="20"/>
          <w:szCs w:val="20"/>
        </w:rPr>
        <w:t>1</w:t>
      </w:r>
      <w:r w:rsidR="00CD417D">
        <w:rPr>
          <w:rFonts w:ascii="Verdana" w:hAnsi="Verdana"/>
          <w:sz w:val="20"/>
          <w:szCs w:val="20"/>
        </w:rPr>
        <w:t>8</w:t>
      </w:r>
      <w:r w:rsidRPr="000B3B3E">
        <w:rPr>
          <w:rFonts w:ascii="Verdana" w:hAnsi="Verdana"/>
          <w:sz w:val="20"/>
          <w:szCs w:val="20"/>
        </w:rPr>
        <w:t>.</w:t>
      </w:r>
    </w:p>
    <w:p w14:paraId="56C230FE" w14:textId="6B1F61B0" w:rsidR="00231961" w:rsidRPr="000B3B3E" w:rsidRDefault="00327B97" w:rsidP="00327B97">
      <w:pPr>
        <w:jc w:val="both"/>
        <w:rPr>
          <w:rFonts w:ascii="Verdana" w:hAnsi="Verdana"/>
          <w:sz w:val="20"/>
          <w:szCs w:val="20"/>
        </w:rPr>
      </w:pPr>
      <w:r w:rsidRPr="00327B97">
        <w:rPr>
          <w:rFonts w:ascii="Verdana" w:hAnsi="Verdana"/>
          <w:sz w:val="20"/>
          <w:szCs w:val="20"/>
        </w:rPr>
        <w:t>Cuando las tasas de interés cambian, el valor presente y el momento de los flujos de efectivo futuros pueden verse afectados. Esto, a su vez, afecta el valor subyacente de los activos, pasivos y partidas fuera de balance de la entidad y, por lo tanto, el Valor Económico del Patrimonio (VEP). Los cambios en las tasas de interés también afectan las ganancias de la entidad al alterar los ingresos y gastos sensibles a las tasas de interés, lo que impacta su Margen Neto de Interés (MNI).</w:t>
      </w:r>
    </w:p>
    <w:p w14:paraId="4BB9475C" w14:textId="31F3D1E2" w:rsidR="007E468C" w:rsidRPr="000B3B3E" w:rsidRDefault="007E468C" w:rsidP="007E468C">
      <w:pPr>
        <w:spacing w:after="0"/>
        <w:jc w:val="both"/>
        <w:rPr>
          <w:rFonts w:ascii="Verdana" w:hAnsi="Verdana"/>
          <w:sz w:val="20"/>
          <w:szCs w:val="20"/>
        </w:rPr>
      </w:pPr>
      <w:r w:rsidRPr="000B3B3E">
        <w:rPr>
          <w:rFonts w:ascii="Verdana" w:hAnsi="Verdana"/>
          <w:sz w:val="20"/>
          <w:szCs w:val="20"/>
        </w:rPr>
        <w:t>1.1.2.3</w:t>
      </w:r>
      <w:r>
        <w:rPr>
          <w:rFonts w:ascii="Verdana" w:hAnsi="Verdana"/>
          <w:sz w:val="20"/>
          <w:szCs w:val="20"/>
        </w:rPr>
        <w:t>1</w:t>
      </w:r>
      <w:r w:rsidR="00CD417D">
        <w:rPr>
          <w:rFonts w:ascii="Verdana" w:hAnsi="Verdana"/>
          <w:sz w:val="20"/>
          <w:szCs w:val="20"/>
        </w:rPr>
        <w:t>9</w:t>
      </w:r>
      <w:r w:rsidRPr="000B3B3E">
        <w:rPr>
          <w:rFonts w:ascii="Verdana" w:hAnsi="Verdana"/>
          <w:sz w:val="20"/>
          <w:szCs w:val="20"/>
        </w:rPr>
        <w:t>.</w:t>
      </w:r>
    </w:p>
    <w:p w14:paraId="44D896F5" w14:textId="77777777" w:rsidR="00606BCF" w:rsidRPr="000B3B3E" w:rsidRDefault="00D9101B" w:rsidP="00606BCF">
      <w:pPr>
        <w:jc w:val="both"/>
        <w:rPr>
          <w:rFonts w:ascii="Verdana" w:hAnsi="Verdana"/>
          <w:sz w:val="20"/>
          <w:szCs w:val="20"/>
        </w:rPr>
      </w:pPr>
      <w:r w:rsidRPr="00D9101B">
        <w:rPr>
          <w:rFonts w:ascii="Verdana" w:hAnsi="Verdana"/>
          <w:sz w:val="20"/>
          <w:szCs w:val="20"/>
        </w:rPr>
        <w:t>En la gestión del RTILB la entidad también debe gestionar el riesgo de diferencial o spread de crédito (RSCLB). Este riesgo se define como cualquier tipo de riesgo de diferencial de crédito y de diferencial de liquidez que no se explica por el RTILB, ni por el riesgo esperado de crédito/salto al incumplimiento. El RSCLB se rige por cambios en la percepción del mercado sobre la calidad crediticia de los diferentes grupos de instrumentos con riesgo de crédito, ya sea por cambios en los niveles de incumplimiento esperados o por cambios en la liquidez del mercado. Los cambios en las percepciones subyacentes de la calidad crediticia pueden incrementar los riesgos que surgen de la curva de rendimientos</w:t>
      </w:r>
      <w:r w:rsidR="00606BCF" w:rsidRPr="000B3B3E">
        <w:rPr>
          <w:rFonts w:ascii="Verdana" w:hAnsi="Verdana"/>
          <w:sz w:val="20"/>
          <w:szCs w:val="20"/>
        </w:rPr>
        <w:t>.</w:t>
      </w:r>
    </w:p>
    <w:p w14:paraId="442420D3" w14:textId="32142646" w:rsidR="00606BCF" w:rsidRPr="000B3B3E" w:rsidRDefault="00606BCF" w:rsidP="00606BCF">
      <w:pPr>
        <w:spacing w:after="0"/>
        <w:jc w:val="both"/>
        <w:rPr>
          <w:rFonts w:ascii="Verdana" w:hAnsi="Verdana"/>
          <w:sz w:val="20"/>
          <w:szCs w:val="20"/>
        </w:rPr>
      </w:pPr>
      <w:r w:rsidRPr="000B3B3E">
        <w:rPr>
          <w:rFonts w:ascii="Verdana" w:hAnsi="Verdana"/>
          <w:sz w:val="20"/>
          <w:szCs w:val="20"/>
        </w:rPr>
        <w:t>1.1.2.3</w:t>
      </w:r>
      <w:r w:rsidR="00CD417D">
        <w:rPr>
          <w:rFonts w:ascii="Verdana" w:hAnsi="Verdana"/>
          <w:sz w:val="20"/>
          <w:szCs w:val="20"/>
        </w:rPr>
        <w:t>20</w:t>
      </w:r>
      <w:r w:rsidRPr="000B3B3E">
        <w:rPr>
          <w:rFonts w:ascii="Verdana" w:hAnsi="Verdana"/>
          <w:sz w:val="20"/>
          <w:szCs w:val="20"/>
        </w:rPr>
        <w:t>.</w:t>
      </w:r>
    </w:p>
    <w:p w14:paraId="2C38E7FE" w14:textId="441B9024" w:rsidR="001C65AA" w:rsidRDefault="00106C58" w:rsidP="001C65AA">
      <w:pPr>
        <w:jc w:val="both"/>
        <w:rPr>
          <w:rFonts w:ascii="Verdana" w:hAnsi="Verdana"/>
          <w:sz w:val="20"/>
          <w:szCs w:val="20"/>
        </w:rPr>
      </w:pPr>
      <w:r w:rsidRPr="00106C58">
        <w:rPr>
          <w:rFonts w:ascii="Verdana" w:hAnsi="Verdana"/>
          <w:sz w:val="20"/>
          <w:szCs w:val="20"/>
        </w:rPr>
        <w:t xml:space="preserve">La entidad debe gestionar el RTILB, incluido el RSCLB, y reconocer el impacto de estos riesgos en el VEP y en el MNI. Para el efecto debe cumplir con las instrucciones de gestión del presente </w:t>
      </w:r>
      <w:r w:rsidR="009F6CB1">
        <w:rPr>
          <w:rFonts w:ascii="Verdana" w:hAnsi="Verdana"/>
          <w:sz w:val="20"/>
          <w:szCs w:val="20"/>
        </w:rPr>
        <w:t>c</w:t>
      </w:r>
      <w:r w:rsidRPr="00106C58">
        <w:rPr>
          <w:rFonts w:ascii="Verdana" w:hAnsi="Verdana"/>
          <w:sz w:val="20"/>
          <w:szCs w:val="20"/>
        </w:rPr>
        <w:t xml:space="preserve">apítulo, así como con los requisitos técnicos de la metodología estándar de RTILB señalados en el </w:t>
      </w:r>
      <w:r w:rsidR="00481039">
        <w:rPr>
          <w:rFonts w:ascii="Verdana" w:hAnsi="Verdana"/>
          <w:sz w:val="20"/>
          <w:szCs w:val="20"/>
        </w:rPr>
        <w:t>a</w:t>
      </w:r>
      <w:r w:rsidRPr="00106C58">
        <w:rPr>
          <w:rFonts w:ascii="Verdana" w:hAnsi="Verdana"/>
          <w:sz w:val="20"/>
          <w:szCs w:val="20"/>
        </w:rPr>
        <w:t xml:space="preserve">nexo 15. La entidad que cuente con modelos internos para calcular el impacto del RTILB en el MNI y en el VEP, incluido el RSCLB, podrá presentar tales modelos para no objeción de la SFC, siempre que los mismos se integren en los procesos de gestión de toda la entidad y </w:t>
      </w:r>
      <w:r w:rsidR="00A7690B">
        <w:rPr>
          <w:rFonts w:ascii="Verdana" w:hAnsi="Verdana"/>
          <w:sz w:val="20"/>
          <w:szCs w:val="20"/>
        </w:rPr>
        <w:t xml:space="preserve">en el </w:t>
      </w:r>
      <w:r w:rsidR="006D3C56">
        <w:rPr>
          <w:rFonts w:ascii="Verdana" w:hAnsi="Verdana"/>
          <w:sz w:val="20"/>
          <w:szCs w:val="20"/>
        </w:rPr>
        <w:t>proceso de</w:t>
      </w:r>
      <w:r w:rsidR="00A7690B">
        <w:rPr>
          <w:rFonts w:ascii="Verdana" w:hAnsi="Verdana"/>
          <w:sz w:val="20"/>
          <w:szCs w:val="20"/>
        </w:rPr>
        <w:t xml:space="preserve"> </w:t>
      </w:r>
      <w:r w:rsidR="006D3C56">
        <w:rPr>
          <w:rFonts w:ascii="Verdana" w:hAnsi="Verdana"/>
          <w:sz w:val="20"/>
          <w:szCs w:val="20"/>
        </w:rPr>
        <w:t>auto</w:t>
      </w:r>
      <w:r w:rsidRPr="00106C58">
        <w:rPr>
          <w:rFonts w:ascii="Verdana" w:hAnsi="Verdana"/>
          <w:sz w:val="20"/>
          <w:szCs w:val="20"/>
        </w:rPr>
        <w:t>evaluación interna de capital</w:t>
      </w:r>
      <w:r w:rsidR="001C65AA">
        <w:rPr>
          <w:rFonts w:ascii="Verdana" w:hAnsi="Verdana"/>
          <w:sz w:val="20"/>
          <w:szCs w:val="20"/>
        </w:rPr>
        <w:t>.</w:t>
      </w:r>
    </w:p>
    <w:p w14:paraId="1E28D830" w14:textId="112F5B6C" w:rsidR="001C65AA" w:rsidRPr="007735FE" w:rsidRDefault="00D12EA4" w:rsidP="001C65AA">
      <w:pPr>
        <w:jc w:val="both"/>
        <w:rPr>
          <w:rFonts w:ascii="Verdana" w:hAnsi="Verdana"/>
          <w:b/>
          <w:bCs/>
          <w:sz w:val="20"/>
          <w:szCs w:val="20"/>
        </w:rPr>
      </w:pPr>
      <w:r>
        <w:rPr>
          <w:rFonts w:ascii="Verdana" w:hAnsi="Verdana"/>
          <w:b/>
          <w:bCs/>
          <w:sz w:val="20"/>
          <w:szCs w:val="20"/>
        </w:rPr>
        <w:t xml:space="preserve">Ámbito de aplicación </w:t>
      </w:r>
    </w:p>
    <w:p w14:paraId="71873D8C" w14:textId="0B528362" w:rsidR="001C65AA" w:rsidRPr="000001A2" w:rsidRDefault="001C65AA" w:rsidP="001C65AA">
      <w:pPr>
        <w:spacing w:after="0"/>
        <w:jc w:val="both"/>
        <w:rPr>
          <w:rFonts w:ascii="Verdana" w:hAnsi="Verdana"/>
          <w:sz w:val="20"/>
          <w:szCs w:val="20"/>
        </w:rPr>
      </w:pPr>
      <w:r>
        <w:rPr>
          <w:rFonts w:ascii="Verdana" w:hAnsi="Verdana"/>
          <w:sz w:val="20"/>
          <w:szCs w:val="20"/>
        </w:rPr>
        <w:t>1.1.2.</w:t>
      </w:r>
      <w:r w:rsidR="00E56977">
        <w:rPr>
          <w:rFonts w:ascii="Verdana" w:hAnsi="Verdana"/>
          <w:sz w:val="20"/>
          <w:szCs w:val="20"/>
        </w:rPr>
        <w:t>3</w:t>
      </w:r>
      <w:r w:rsidR="00CD417D">
        <w:rPr>
          <w:rFonts w:ascii="Verdana" w:hAnsi="Verdana"/>
          <w:sz w:val="20"/>
          <w:szCs w:val="20"/>
        </w:rPr>
        <w:t>21</w:t>
      </w:r>
      <w:r>
        <w:rPr>
          <w:rFonts w:ascii="Verdana" w:hAnsi="Verdana"/>
          <w:sz w:val="20"/>
          <w:szCs w:val="20"/>
        </w:rPr>
        <w:t>.</w:t>
      </w:r>
    </w:p>
    <w:p w14:paraId="25470D32" w14:textId="407ABAE6" w:rsidR="00117B62" w:rsidRDefault="00117B62" w:rsidP="00117B62">
      <w:pPr>
        <w:jc w:val="both"/>
        <w:rPr>
          <w:rFonts w:ascii="Verdana" w:hAnsi="Verdana"/>
          <w:sz w:val="20"/>
          <w:szCs w:val="20"/>
        </w:rPr>
      </w:pPr>
      <w:r w:rsidRPr="00117B62">
        <w:rPr>
          <w:rFonts w:ascii="Verdana" w:hAnsi="Verdana"/>
          <w:sz w:val="20"/>
          <w:szCs w:val="20"/>
        </w:rPr>
        <w:t xml:space="preserve">Lo dispuesto en este numeral aplica a los establecimientos bancarios, corporaciones financieras, compañías de financiamiento, entidades cooperativas de carácter financiero, organismos cooperativos de grado superior e instituciones oficiales especiales, a nivel individual y consolidado, sobre las posiciones del libro bancario en activos, pasivos y partidas fuera de balance conjuntamente expuestas al RTILB, incluido el RSCLB. </w:t>
      </w:r>
    </w:p>
    <w:p w14:paraId="31D204DE" w14:textId="0C7E106F" w:rsidR="00117B62" w:rsidRPr="007735FE" w:rsidRDefault="00DD2219" w:rsidP="00117B62">
      <w:pPr>
        <w:jc w:val="both"/>
        <w:rPr>
          <w:rFonts w:ascii="Verdana" w:hAnsi="Verdana"/>
          <w:b/>
          <w:bCs/>
          <w:sz w:val="20"/>
          <w:szCs w:val="20"/>
        </w:rPr>
      </w:pPr>
      <w:r>
        <w:rPr>
          <w:rFonts w:ascii="Verdana" w:hAnsi="Verdana"/>
          <w:b/>
          <w:bCs/>
          <w:sz w:val="20"/>
          <w:szCs w:val="20"/>
        </w:rPr>
        <w:t>Componentes</w:t>
      </w:r>
    </w:p>
    <w:p w14:paraId="611179FC" w14:textId="0E51B8AB" w:rsidR="00117B62" w:rsidRPr="000001A2" w:rsidRDefault="00117B62" w:rsidP="00117B62">
      <w:pPr>
        <w:spacing w:after="0"/>
        <w:jc w:val="both"/>
        <w:rPr>
          <w:rFonts w:ascii="Verdana" w:hAnsi="Verdana"/>
          <w:sz w:val="20"/>
          <w:szCs w:val="20"/>
        </w:rPr>
      </w:pPr>
      <w:r>
        <w:rPr>
          <w:rFonts w:ascii="Verdana" w:hAnsi="Verdana"/>
          <w:sz w:val="20"/>
          <w:szCs w:val="20"/>
        </w:rPr>
        <w:t>1.1.2.</w:t>
      </w:r>
      <w:r w:rsidR="00E56977">
        <w:rPr>
          <w:rFonts w:ascii="Verdana" w:hAnsi="Verdana"/>
          <w:sz w:val="20"/>
          <w:szCs w:val="20"/>
        </w:rPr>
        <w:t>32</w:t>
      </w:r>
      <w:r w:rsidR="00CD417D">
        <w:rPr>
          <w:rFonts w:ascii="Verdana" w:hAnsi="Verdana"/>
          <w:sz w:val="20"/>
          <w:szCs w:val="20"/>
        </w:rPr>
        <w:t>2</w:t>
      </w:r>
      <w:r>
        <w:rPr>
          <w:rFonts w:ascii="Verdana" w:hAnsi="Verdana"/>
          <w:sz w:val="20"/>
          <w:szCs w:val="20"/>
        </w:rPr>
        <w:t>.</w:t>
      </w:r>
    </w:p>
    <w:p w14:paraId="6C511D3E" w14:textId="64698173" w:rsidR="001C65AA" w:rsidRDefault="00195B39" w:rsidP="00117B62">
      <w:pPr>
        <w:jc w:val="both"/>
        <w:rPr>
          <w:rFonts w:ascii="Verdana" w:hAnsi="Verdana"/>
          <w:sz w:val="20"/>
          <w:szCs w:val="20"/>
        </w:rPr>
      </w:pPr>
      <w:r w:rsidRPr="00195B39">
        <w:rPr>
          <w:rFonts w:ascii="Verdana" w:hAnsi="Verdana"/>
          <w:sz w:val="20"/>
          <w:szCs w:val="20"/>
        </w:rPr>
        <w:t xml:space="preserve">La entidad que en desarrollo de sus operaciones autorizadas y modelo de negocio se encuentre expuesta al RTILB, incluido el RSCLB, debe gestionar de manera adecuada este riesgo, lo que involucra su identificación, medición, control y monitoreo. La gestión de este riesgo debe estructurarse atendiendo la naturaleza, tamaño, el plan de negocio, la diversidad y complejidad de las actividades que desarrolle la entidad, así como el perfil de riesgos y el MAR, además de su importancia por tamaño e interconectividad en el sistema financiero, y los entornos económicos y de los mercados en donde opera. Para tal fin, la entidad debe contar con políticas, procedimientos, límites, controles, metodologías, modelos, técnicas de cobertura y sistemas de información internos y externos, dando cumplimiento a todos los requisitos </w:t>
      </w:r>
      <w:r w:rsidRPr="0023049E">
        <w:rPr>
          <w:rFonts w:ascii="Verdana" w:hAnsi="Verdana"/>
          <w:sz w:val="20"/>
          <w:szCs w:val="20"/>
        </w:rPr>
        <w:t xml:space="preserve">establecidos en la </w:t>
      </w:r>
      <w:r w:rsidR="00481039" w:rsidRPr="0023049E">
        <w:rPr>
          <w:rFonts w:ascii="Verdana" w:hAnsi="Verdana"/>
          <w:sz w:val="20"/>
          <w:szCs w:val="20"/>
        </w:rPr>
        <w:t xml:space="preserve">sección 1 </w:t>
      </w:r>
      <w:r w:rsidRPr="0023049E">
        <w:rPr>
          <w:rFonts w:ascii="Verdana" w:hAnsi="Verdana"/>
          <w:sz w:val="20"/>
          <w:szCs w:val="20"/>
        </w:rPr>
        <w:t xml:space="preserve">de este </w:t>
      </w:r>
      <w:r w:rsidR="00481039" w:rsidRPr="0023049E">
        <w:rPr>
          <w:rFonts w:ascii="Verdana" w:hAnsi="Verdana"/>
          <w:sz w:val="20"/>
          <w:szCs w:val="20"/>
        </w:rPr>
        <w:t>c</w:t>
      </w:r>
      <w:r w:rsidRPr="0023049E">
        <w:rPr>
          <w:rFonts w:ascii="Verdana" w:hAnsi="Verdana"/>
          <w:sz w:val="20"/>
          <w:szCs w:val="20"/>
        </w:rPr>
        <w:t>apítulo.</w:t>
      </w:r>
    </w:p>
    <w:p w14:paraId="279C292D" w14:textId="039CDBAC" w:rsidR="00E56977" w:rsidRPr="000B3B3E" w:rsidRDefault="00E56977" w:rsidP="00E56977">
      <w:pPr>
        <w:spacing w:after="0"/>
        <w:jc w:val="both"/>
        <w:rPr>
          <w:rFonts w:ascii="Verdana" w:hAnsi="Verdana"/>
          <w:sz w:val="20"/>
          <w:szCs w:val="20"/>
        </w:rPr>
      </w:pPr>
      <w:r w:rsidRPr="000B3B3E">
        <w:rPr>
          <w:rFonts w:ascii="Verdana" w:hAnsi="Verdana"/>
          <w:sz w:val="20"/>
          <w:szCs w:val="20"/>
        </w:rPr>
        <w:t>1.1.2.3</w:t>
      </w:r>
      <w:r>
        <w:rPr>
          <w:rFonts w:ascii="Verdana" w:hAnsi="Verdana"/>
          <w:sz w:val="20"/>
          <w:szCs w:val="20"/>
        </w:rPr>
        <w:t>2</w:t>
      </w:r>
      <w:r w:rsidR="00CD417D">
        <w:rPr>
          <w:rFonts w:ascii="Verdana" w:hAnsi="Verdana"/>
          <w:sz w:val="20"/>
          <w:szCs w:val="20"/>
        </w:rPr>
        <w:t>3</w:t>
      </w:r>
      <w:r w:rsidRPr="000B3B3E">
        <w:rPr>
          <w:rFonts w:ascii="Verdana" w:hAnsi="Verdana"/>
          <w:sz w:val="20"/>
          <w:szCs w:val="20"/>
        </w:rPr>
        <w:t>.</w:t>
      </w:r>
    </w:p>
    <w:p w14:paraId="2CE45E51" w14:textId="16DBC055" w:rsidR="00E56977" w:rsidRPr="00F559CD" w:rsidRDefault="00F559CD" w:rsidP="00E56977">
      <w:pPr>
        <w:jc w:val="both"/>
        <w:rPr>
          <w:rFonts w:ascii="Verdana" w:hAnsi="Verdana"/>
          <w:sz w:val="20"/>
          <w:szCs w:val="20"/>
          <w:lang w:val="es-ES"/>
        </w:rPr>
      </w:pPr>
      <w:r w:rsidRPr="00F559CD">
        <w:rPr>
          <w:rFonts w:ascii="Verdana" w:hAnsi="Verdana"/>
          <w:sz w:val="20"/>
          <w:szCs w:val="20"/>
        </w:rPr>
        <w:t>De acuerdo con los lineamientos que resulten aplicables para la gestión de este riesgo la entidad debe contar con: (i) límites de riesgo cuantitativos, un sistema de alertas tempranas y un esquema de roles y responsabilidades de quienes supervisan su implementación y monitoreo; (</w:t>
      </w:r>
      <w:proofErr w:type="spellStart"/>
      <w:r w:rsidRPr="00F559CD">
        <w:rPr>
          <w:rFonts w:ascii="Verdana" w:hAnsi="Verdana"/>
          <w:sz w:val="20"/>
          <w:szCs w:val="20"/>
        </w:rPr>
        <w:t>ii</w:t>
      </w:r>
      <w:proofErr w:type="spellEnd"/>
      <w:r w:rsidRPr="00F559CD">
        <w:rPr>
          <w:rFonts w:ascii="Verdana" w:hAnsi="Verdana"/>
          <w:sz w:val="20"/>
          <w:szCs w:val="20"/>
        </w:rPr>
        <w:t xml:space="preserve">) sistemas y estándares adecuados para su </w:t>
      </w:r>
      <w:r w:rsidRPr="00F559CD">
        <w:rPr>
          <w:rFonts w:ascii="Verdana" w:hAnsi="Verdana"/>
          <w:sz w:val="20"/>
          <w:szCs w:val="20"/>
        </w:rPr>
        <w:lastRenderedPageBreak/>
        <w:t>cuantificación; (</w:t>
      </w:r>
      <w:proofErr w:type="spellStart"/>
      <w:r w:rsidRPr="00F559CD">
        <w:rPr>
          <w:rFonts w:ascii="Verdana" w:hAnsi="Verdana"/>
          <w:sz w:val="20"/>
          <w:szCs w:val="20"/>
        </w:rPr>
        <w:t>iii</w:t>
      </w:r>
      <w:proofErr w:type="spellEnd"/>
      <w:r w:rsidRPr="00F559CD">
        <w:rPr>
          <w:rFonts w:ascii="Verdana" w:hAnsi="Verdana"/>
          <w:sz w:val="20"/>
          <w:szCs w:val="20"/>
        </w:rPr>
        <w:t>) estándares para medir el riesgo, valorar posiciones y evaluar el desempeño; y (</w:t>
      </w:r>
      <w:proofErr w:type="spellStart"/>
      <w:r w:rsidRPr="00F559CD">
        <w:rPr>
          <w:rFonts w:ascii="Verdana" w:hAnsi="Verdana"/>
          <w:sz w:val="20"/>
          <w:szCs w:val="20"/>
        </w:rPr>
        <w:t>iv</w:t>
      </w:r>
      <w:proofErr w:type="spellEnd"/>
      <w:r w:rsidRPr="00F559CD">
        <w:rPr>
          <w:rFonts w:ascii="Verdana" w:hAnsi="Verdana"/>
          <w:sz w:val="20"/>
          <w:szCs w:val="20"/>
        </w:rPr>
        <w:t>) un proceso integral de reporte interno y externo.</w:t>
      </w:r>
    </w:p>
    <w:p w14:paraId="50032164" w14:textId="3612A163" w:rsidR="00E56977" w:rsidRPr="000B3B3E" w:rsidRDefault="00E56977" w:rsidP="00E56977">
      <w:pPr>
        <w:spacing w:after="0"/>
        <w:jc w:val="both"/>
        <w:rPr>
          <w:rFonts w:ascii="Verdana" w:hAnsi="Verdana"/>
          <w:sz w:val="20"/>
          <w:szCs w:val="20"/>
        </w:rPr>
      </w:pPr>
      <w:r w:rsidRPr="000B3B3E">
        <w:rPr>
          <w:rFonts w:ascii="Verdana" w:hAnsi="Verdana"/>
          <w:sz w:val="20"/>
          <w:szCs w:val="20"/>
        </w:rPr>
        <w:t>1.1.2.3</w:t>
      </w:r>
      <w:r>
        <w:rPr>
          <w:rFonts w:ascii="Verdana" w:hAnsi="Verdana"/>
          <w:sz w:val="20"/>
          <w:szCs w:val="20"/>
        </w:rPr>
        <w:t>2</w:t>
      </w:r>
      <w:r w:rsidR="00CD417D">
        <w:rPr>
          <w:rFonts w:ascii="Verdana" w:hAnsi="Verdana"/>
          <w:sz w:val="20"/>
          <w:szCs w:val="20"/>
        </w:rPr>
        <w:t>4</w:t>
      </w:r>
      <w:r w:rsidRPr="000B3B3E">
        <w:rPr>
          <w:rFonts w:ascii="Verdana" w:hAnsi="Verdana"/>
          <w:sz w:val="20"/>
          <w:szCs w:val="20"/>
        </w:rPr>
        <w:t>.</w:t>
      </w:r>
    </w:p>
    <w:p w14:paraId="2324DC9C" w14:textId="398701E9" w:rsidR="00E56977" w:rsidRPr="006D6C28" w:rsidRDefault="0043131D" w:rsidP="00E56977">
      <w:pPr>
        <w:jc w:val="both"/>
        <w:rPr>
          <w:rFonts w:ascii="Verdana" w:hAnsi="Verdana"/>
          <w:sz w:val="20"/>
          <w:szCs w:val="20"/>
          <w:lang w:val="es-ES"/>
        </w:rPr>
      </w:pPr>
      <w:r>
        <w:rPr>
          <w:rFonts w:ascii="Verdana" w:hAnsi="Verdana"/>
          <w:sz w:val="20"/>
          <w:szCs w:val="20"/>
        </w:rPr>
        <w:t>De acuerdo</w:t>
      </w:r>
      <w:r w:rsidR="006D6C28" w:rsidRPr="006D6C28">
        <w:rPr>
          <w:rFonts w:ascii="Verdana" w:hAnsi="Verdana"/>
          <w:sz w:val="20"/>
          <w:szCs w:val="20"/>
        </w:rPr>
        <w:t xml:space="preserve"> con lo dispuesto </w:t>
      </w:r>
      <w:r w:rsidR="006D6C28" w:rsidRPr="0043131D">
        <w:rPr>
          <w:rFonts w:ascii="Verdana" w:hAnsi="Verdana"/>
          <w:sz w:val="20"/>
          <w:szCs w:val="20"/>
        </w:rPr>
        <w:t xml:space="preserve">en el literal </w:t>
      </w:r>
      <w:r w:rsidRPr="0043131D">
        <w:rPr>
          <w:rFonts w:ascii="Verdana" w:hAnsi="Verdana"/>
          <w:sz w:val="20"/>
          <w:szCs w:val="20"/>
        </w:rPr>
        <w:t>(</w:t>
      </w:r>
      <w:r w:rsidR="006D6C28" w:rsidRPr="0043131D">
        <w:rPr>
          <w:rFonts w:ascii="Verdana" w:hAnsi="Verdana"/>
          <w:sz w:val="20"/>
          <w:szCs w:val="20"/>
        </w:rPr>
        <w:t>g</w:t>
      </w:r>
      <w:r w:rsidRPr="0043131D">
        <w:rPr>
          <w:rFonts w:ascii="Verdana" w:hAnsi="Verdana"/>
          <w:sz w:val="20"/>
          <w:szCs w:val="20"/>
        </w:rPr>
        <w:t>)</w:t>
      </w:r>
      <w:r w:rsidR="006D6C28" w:rsidRPr="0043131D">
        <w:rPr>
          <w:rFonts w:ascii="Verdana" w:hAnsi="Verdana"/>
          <w:sz w:val="20"/>
          <w:szCs w:val="20"/>
        </w:rPr>
        <w:t xml:space="preserve"> </w:t>
      </w:r>
      <w:r w:rsidRPr="0043131D">
        <w:rPr>
          <w:rFonts w:ascii="Verdana" w:hAnsi="Verdana"/>
          <w:sz w:val="20"/>
          <w:szCs w:val="20"/>
        </w:rPr>
        <w:t>del párrafo 1.1.1.40.</w:t>
      </w:r>
      <w:r w:rsidR="006D6C28" w:rsidRPr="0043131D">
        <w:rPr>
          <w:rFonts w:ascii="Verdana" w:hAnsi="Verdana"/>
          <w:sz w:val="20"/>
          <w:szCs w:val="20"/>
        </w:rPr>
        <w:t xml:space="preserve"> de este </w:t>
      </w:r>
      <w:r>
        <w:rPr>
          <w:rFonts w:ascii="Verdana" w:hAnsi="Verdana"/>
          <w:sz w:val="20"/>
          <w:szCs w:val="20"/>
        </w:rPr>
        <w:t>c</w:t>
      </w:r>
      <w:r w:rsidR="006D6C28" w:rsidRPr="0043131D">
        <w:rPr>
          <w:rFonts w:ascii="Verdana" w:hAnsi="Verdana"/>
          <w:sz w:val="20"/>
          <w:szCs w:val="20"/>
        </w:rPr>
        <w:t>apítulo, en los casos excepcionales que la entidad apruebe la</w:t>
      </w:r>
      <w:r w:rsidR="006D6C28" w:rsidRPr="006D6C28">
        <w:rPr>
          <w:rFonts w:ascii="Verdana" w:hAnsi="Verdana"/>
          <w:sz w:val="20"/>
          <w:szCs w:val="20"/>
        </w:rPr>
        <w:t xml:space="preserve"> reclasificación de partidas del libro de tesorería al libro bancario o viceversa, deberá informarlo a la SFC con la justificación correspondiente.</w:t>
      </w:r>
    </w:p>
    <w:p w14:paraId="583019FF" w14:textId="624A882F" w:rsidR="00E56977" w:rsidRPr="000B3B3E" w:rsidRDefault="00E56977" w:rsidP="00E56977">
      <w:pPr>
        <w:spacing w:after="0"/>
        <w:jc w:val="both"/>
        <w:rPr>
          <w:rFonts w:ascii="Verdana" w:hAnsi="Verdana"/>
          <w:sz w:val="20"/>
          <w:szCs w:val="20"/>
        </w:rPr>
      </w:pPr>
      <w:r w:rsidRPr="000B3B3E">
        <w:rPr>
          <w:rFonts w:ascii="Verdana" w:hAnsi="Verdana"/>
          <w:sz w:val="20"/>
          <w:szCs w:val="20"/>
        </w:rPr>
        <w:t>1.1.2.3</w:t>
      </w:r>
      <w:r>
        <w:rPr>
          <w:rFonts w:ascii="Verdana" w:hAnsi="Verdana"/>
          <w:sz w:val="20"/>
          <w:szCs w:val="20"/>
        </w:rPr>
        <w:t>2</w:t>
      </w:r>
      <w:r w:rsidR="00CD417D">
        <w:rPr>
          <w:rFonts w:ascii="Verdana" w:hAnsi="Verdana"/>
          <w:sz w:val="20"/>
          <w:szCs w:val="20"/>
        </w:rPr>
        <w:t>5</w:t>
      </w:r>
      <w:r w:rsidRPr="000B3B3E">
        <w:rPr>
          <w:rFonts w:ascii="Verdana" w:hAnsi="Verdana"/>
          <w:sz w:val="20"/>
          <w:szCs w:val="20"/>
        </w:rPr>
        <w:t>.</w:t>
      </w:r>
    </w:p>
    <w:p w14:paraId="04873265" w14:textId="246193EA" w:rsidR="00D31F21" w:rsidRPr="00336825" w:rsidRDefault="002835E7" w:rsidP="00336825">
      <w:pPr>
        <w:jc w:val="both"/>
        <w:rPr>
          <w:rFonts w:ascii="Verdana" w:hAnsi="Verdana"/>
          <w:sz w:val="20"/>
          <w:szCs w:val="20"/>
        </w:rPr>
      </w:pPr>
      <w:r w:rsidRPr="002835E7">
        <w:rPr>
          <w:rFonts w:ascii="Verdana" w:hAnsi="Verdana"/>
          <w:sz w:val="20"/>
          <w:szCs w:val="20"/>
        </w:rPr>
        <w:t>La entidad debe incluir el RTILB y el RSCLB en las pruebas de estrés que debe desarrollar; así mismo, la gestión de estos riesgos debe hacer parte del proceso de evaluación de suficiencia del capital.</w:t>
      </w:r>
    </w:p>
    <w:p w14:paraId="51A50B55" w14:textId="5463CB2A" w:rsidR="00D31F21" w:rsidRPr="009D37DF" w:rsidRDefault="00E25884" w:rsidP="009D37DF">
      <w:pPr>
        <w:jc w:val="both"/>
        <w:rPr>
          <w:rFonts w:ascii="Verdana" w:hAnsi="Verdana"/>
          <w:b/>
          <w:bCs/>
          <w:sz w:val="20"/>
          <w:szCs w:val="20"/>
        </w:rPr>
      </w:pPr>
      <w:r w:rsidRPr="009D37DF">
        <w:rPr>
          <w:rFonts w:ascii="Verdana" w:hAnsi="Verdana"/>
          <w:b/>
          <w:bCs/>
          <w:sz w:val="20"/>
          <w:szCs w:val="20"/>
        </w:rPr>
        <w:t>Etapas</w:t>
      </w:r>
    </w:p>
    <w:p w14:paraId="43B09006" w14:textId="2142C9BD" w:rsidR="00D31F21" w:rsidRPr="0086035E" w:rsidRDefault="00D31F21" w:rsidP="00D31F21">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0A648C">
        <w:rPr>
          <w:rFonts w:ascii="Verdana" w:hAnsi="Verdana"/>
          <w:sz w:val="20"/>
          <w:szCs w:val="20"/>
        </w:rPr>
        <w:t>32</w:t>
      </w:r>
      <w:r w:rsidR="00CD417D">
        <w:rPr>
          <w:rFonts w:ascii="Verdana" w:hAnsi="Verdana"/>
          <w:sz w:val="20"/>
          <w:szCs w:val="20"/>
        </w:rPr>
        <w:t>6</w:t>
      </w:r>
      <w:r w:rsidRPr="0086035E">
        <w:rPr>
          <w:rFonts w:ascii="Verdana" w:hAnsi="Verdana"/>
          <w:sz w:val="20"/>
          <w:szCs w:val="20"/>
        </w:rPr>
        <w:t>.</w:t>
      </w:r>
    </w:p>
    <w:p w14:paraId="67920F58" w14:textId="0F76C443" w:rsidR="00D31F21" w:rsidRDefault="00983BD7" w:rsidP="00D31F21">
      <w:pPr>
        <w:jc w:val="both"/>
        <w:rPr>
          <w:rFonts w:ascii="Verdana" w:hAnsi="Verdana"/>
          <w:sz w:val="20"/>
          <w:szCs w:val="20"/>
        </w:rPr>
      </w:pPr>
      <w:r w:rsidRPr="00983BD7">
        <w:rPr>
          <w:rFonts w:ascii="Verdana" w:hAnsi="Verdana"/>
          <w:sz w:val="20"/>
          <w:szCs w:val="20"/>
        </w:rPr>
        <w:t>Para la gestión del RTILB, conforme a la</w:t>
      </w:r>
      <w:r w:rsidR="001A3334">
        <w:rPr>
          <w:rFonts w:ascii="Verdana" w:hAnsi="Verdana"/>
          <w:sz w:val="20"/>
          <w:szCs w:val="20"/>
        </w:rPr>
        <w:t>s instrucciones anteriores</w:t>
      </w:r>
      <w:r w:rsidR="00680A8D">
        <w:rPr>
          <w:rFonts w:ascii="Verdana" w:hAnsi="Verdana"/>
          <w:sz w:val="20"/>
          <w:szCs w:val="20"/>
        </w:rPr>
        <w:t xml:space="preserve"> relacionadas con los</w:t>
      </w:r>
      <w:r w:rsidR="00D314D3">
        <w:rPr>
          <w:rFonts w:ascii="Verdana" w:hAnsi="Verdana"/>
          <w:sz w:val="20"/>
          <w:szCs w:val="20"/>
        </w:rPr>
        <w:t xml:space="preserve"> componentes </w:t>
      </w:r>
      <w:r w:rsidR="00680A8D">
        <w:rPr>
          <w:rFonts w:ascii="Verdana" w:hAnsi="Verdana"/>
          <w:sz w:val="20"/>
          <w:szCs w:val="20"/>
        </w:rPr>
        <w:t>para la gestión del RTILB</w:t>
      </w:r>
      <w:r w:rsidRPr="00983BD7">
        <w:rPr>
          <w:rFonts w:ascii="Verdana" w:hAnsi="Verdana"/>
          <w:sz w:val="20"/>
          <w:szCs w:val="20"/>
        </w:rPr>
        <w:t xml:space="preserve">, la entidad debe desarrollar las siguientes etapas, teniendo en cuenta los requisitos cualitativos y cuantitativos </w:t>
      </w:r>
      <w:r w:rsidR="00424A0F">
        <w:rPr>
          <w:rFonts w:ascii="Verdana" w:hAnsi="Verdana"/>
          <w:sz w:val="20"/>
          <w:szCs w:val="20"/>
        </w:rPr>
        <w:t xml:space="preserve">aquí </w:t>
      </w:r>
      <w:r w:rsidRPr="00983BD7">
        <w:rPr>
          <w:rFonts w:ascii="Verdana" w:hAnsi="Verdana"/>
          <w:sz w:val="20"/>
          <w:szCs w:val="20"/>
        </w:rPr>
        <w:t>señalados</w:t>
      </w:r>
      <w:r w:rsidR="00424A0F">
        <w:rPr>
          <w:rFonts w:ascii="Verdana" w:hAnsi="Verdana"/>
          <w:sz w:val="20"/>
          <w:szCs w:val="20"/>
        </w:rPr>
        <w:t>.</w:t>
      </w:r>
    </w:p>
    <w:p w14:paraId="7FE15ACF" w14:textId="5FA51E28" w:rsidR="009D37DF" w:rsidRDefault="009D37DF" w:rsidP="00D31F21">
      <w:pPr>
        <w:pStyle w:val="Prrafodelista"/>
        <w:numPr>
          <w:ilvl w:val="0"/>
          <w:numId w:val="2"/>
        </w:numPr>
        <w:ind w:left="284" w:hanging="284"/>
        <w:jc w:val="both"/>
        <w:rPr>
          <w:rFonts w:ascii="Verdana" w:hAnsi="Verdana"/>
          <w:b/>
          <w:bCs/>
          <w:sz w:val="20"/>
          <w:szCs w:val="20"/>
        </w:rPr>
      </w:pPr>
      <w:r>
        <w:rPr>
          <w:rFonts w:ascii="Verdana" w:hAnsi="Verdana"/>
          <w:b/>
          <w:bCs/>
          <w:sz w:val="20"/>
          <w:szCs w:val="20"/>
        </w:rPr>
        <w:t>Identificación</w:t>
      </w:r>
    </w:p>
    <w:p w14:paraId="582DB7D4" w14:textId="76EADEC2" w:rsidR="009D37DF" w:rsidRPr="009D37DF" w:rsidRDefault="009D37DF" w:rsidP="009D37DF">
      <w:pPr>
        <w:spacing w:after="0"/>
        <w:jc w:val="both"/>
        <w:rPr>
          <w:rFonts w:ascii="Verdana" w:hAnsi="Verdana"/>
          <w:sz w:val="20"/>
          <w:szCs w:val="20"/>
        </w:rPr>
      </w:pPr>
      <w:r w:rsidRPr="009D37DF">
        <w:rPr>
          <w:rFonts w:ascii="Verdana" w:hAnsi="Verdana"/>
          <w:sz w:val="20"/>
          <w:szCs w:val="20"/>
        </w:rPr>
        <w:t>1.1.2.32</w:t>
      </w:r>
      <w:r w:rsidR="00CD417D">
        <w:rPr>
          <w:rFonts w:ascii="Verdana" w:hAnsi="Verdana"/>
          <w:sz w:val="20"/>
          <w:szCs w:val="20"/>
        </w:rPr>
        <w:t>7</w:t>
      </w:r>
      <w:r w:rsidRPr="009D37DF">
        <w:rPr>
          <w:rFonts w:ascii="Verdana" w:hAnsi="Verdana"/>
          <w:sz w:val="20"/>
          <w:szCs w:val="20"/>
        </w:rPr>
        <w:t>.</w:t>
      </w:r>
    </w:p>
    <w:p w14:paraId="63BFC44F" w14:textId="34E65480" w:rsidR="009D37DF" w:rsidRDefault="001711DF" w:rsidP="009D37DF">
      <w:pPr>
        <w:jc w:val="both"/>
        <w:rPr>
          <w:rFonts w:ascii="Verdana" w:hAnsi="Verdana"/>
          <w:sz w:val="20"/>
          <w:szCs w:val="20"/>
        </w:rPr>
      </w:pPr>
      <w:r w:rsidRPr="001711DF">
        <w:rPr>
          <w:rFonts w:ascii="Verdana" w:hAnsi="Verdana"/>
          <w:sz w:val="20"/>
          <w:szCs w:val="20"/>
        </w:rPr>
        <w:t xml:space="preserve">La entidad debe identificar el riesgo de tasa de interés inherente a los productos y operaciones del libro bancario. Así mismo, las medidas de cobertura o mitigación para gestionar este riesgo deben ser aprobadas antes de ser implementadas por el área encargada, según la estructura de gobierno de riesgos </w:t>
      </w:r>
      <w:r w:rsidR="00104C4E">
        <w:rPr>
          <w:rFonts w:ascii="Verdana" w:hAnsi="Verdana"/>
          <w:sz w:val="20"/>
          <w:szCs w:val="20"/>
        </w:rPr>
        <w:t xml:space="preserve">que se define </w:t>
      </w:r>
      <w:r w:rsidR="00FF7ECE">
        <w:rPr>
          <w:rFonts w:ascii="Verdana" w:hAnsi="Verdana"/>
          <w:sz w:val="20"/>
          <w:szCs w:val="20"/>
        </w:rPr>
        <w:t xml:space="preserve">entre los párrafos </w:t>
      </w:r>
      <w:r w:rsidR="00955358">
        <w:rPr>
          <w:rFonts w:ascii="Verdana" w:hAnsi="Verdana"/>
          <w:sz w:val="20"/>
          <w:szCs w:val="20"/>
        </w:rPr>
        <w:t xml:space="preserve">1.1.1.37. y 1.1.1.55. de la </w:t>
      </w:r>
      <w:r w:rsidR="00F5486D">
        <w:rPr>
          <w:rFonts w:ascii="Verdana" w:hAnsi="Verdana"/>
          <w:sz w:val="20"/>
          <w:szCs w:val="20"/>
        </w:rPr>
        <w:t>CBF</w:t>
      </w:r>
      <w:r w:rsidR="00955358">
        <w:rPr>
          <w:rFonts w:ascii="Verdana" w:hAnsi="Verdana"/>
          <w:sz w:val="20"/>
          <w:szCs w:val="20"/>
        </w:rPr>
        <w:t>.</w:t>
      </w:r>
    </w:p>
    <w:p w14:paraId="64B3D27F" w14:textId="1C19979A" w:rsidR="00A87460" w:rsidRPr="0086035E" w:rsidRDefault="00A87460" w:rsidP="00A8746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32</w:t>
      </w:r>
      <w:r w:rsidR="00CD417D">
        <w:rPr>
          <w:rFonts w:ascii="Verdana" w:hAnsi="Verdana"/>
          <w:sz w:val="20"/>
          <w:szCs w:val="20"/>
        </w:rPr>
        <w:t>8</w:t>
      </w:r>
      <w:r w:rsidRPr="0086035E">
        <w:rPr>
          <w:rFonts w:ascii="Verdana" w:hAnsi="Verdana"/>
          <w:sz w:val="20"/>
          <w:szCs w:val="20"/>
        </w:rPr>
        <w:t>.</w:t>
      </w:r>
    </w:p>
    <w:p w14:paraId="619F2BF9" w14:textId="5E236256" w:rsidR="00A87460" w:rsidRPr="007D0D01" w:rsidRDefault="007D0D01" w:rsidP="00A87460">
      <w:pPr>
        <w:jc w:val="both"/>
        <w:rPr>
          <w:rFonts w:ascii="Verdana" w:hAnsi="Verdana"/>
          <w:sz w:val="20"/>
          <w:szCs w:val="20"/>
          <w:lang w:val="es-ES"/>
        </w:rPr>
      </w:pPr>
      <w:r w:rsidRPr="007D0D01">
        <w:rPr>
          <w:rFonts w:ascii="Verdana" w:hAnsi="Verdana"/>
          <w:sz w:val="20"/>
          <w:szCs w:val="20"/>
        </w:rPr>
        <w:t>Los productos y operaciones nuevos que vaya a desarrollar la entidad deben someterse a una revisión previa para garantizar que se ajustan a las características de la gestión del RTILB de la entidad y a los riesgos del modelo, determinando el perfil de riesgo y cuantificando el impacto que los nuevos productos tienen en el nivel de exposición al RTILB de la entidad. Adicionalmente, la entidad debe contar con una estrategia de cobertura y de análisis de toma de riesgos para los nuevos productos y operaciones, y establecer procedimientos y controles adecuados.</w:t>
      </w:r>
    </w:p>
    <w:p w14:paraId="3266E77E" w14:textId="65F0A71E" w:rsidR="00A87460" w:rsidRPr="0086035E" w:rsidRDefault="00A87460" w:rsidP="00A8746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32</w:t>
      </w:r>
      <w:r w:rsidR="00CD417D">
        <w:rPr>
          <w:rFonts w:ascii="Verdana" w:hAnsi="Verdana"/>
          <w:sz w:val="20"/>
          <w:szCs w:val="20"/>
        </w:rPr>
        <w:t>9</w:t>
      </w:r>
      <w:r w:rsidRPr="0086035E">
        <w:rPr>
          <w:rFonts w:ascii="Verdana" w:hAnsi="Verdana"/>
          <w:sz w:val="20"/>
          <w:szCs w:val="20"/>
        </w:rPr>
        <w:t>.</w:t>
      </w:r>
    </w:p>
    <w:p w14:paraId="30CBA62A" w14:textId="63EC749B" w:rsidR="00A87460" w:rsidRDefault="00C17B08" w:rsidP="00A87460">
      <w:pPr>
        <w:jc w:val="both"/>
        <w:rPr>
          <w:rFonts w:ascii="Verdana" w:hAnsi="Verdana"/>
          <w:sz w:val="20"/>
          <w:szCs w:val="20"/>
        </w:rPr>
      </w:pPr>
      <w:r w:rsidRPr="00C17B08">
        <w:rPr>
          <w:rFonts w:ascii="Verdana" w:hAnsi="Verdana"/>
          <w:sz w:val="20"/>
          <w:szCs w:val="20"/>
        </w:rPr>
        <w:t>Esta etapa también debe cumplirse en la evaluación de los cambios del plan de negocio de la entidad, determinando el perfil de riesgo y la cuantificación del impacto que estos cambios tienen en el nivel de exposición al RTILB de la entidad, tanto en el MNI como en el VEP.</w:t>
      </w:r>
      <w:r w:rsidR="00A87460" w:rsidRPr="008D1A73">
        <w:rPr>
          <w:rFonts w:ascii="Verdana" w:hAnsi="Verdana"/>
          <w:sz w:val="20"/>
          <w:szCs w:val="20"/>
        </w:rPr>
        <w:t xml:space="preserve"> </w:t>
      </w:r>
    </w:p>
    <w:p w14:paraId="0FB2677C" w14:textId="57FC1453" w:rsidR="00A87460" w:rsidRPr="0086035E" w:rsidRDefault="00A87460" w:rsidP="00A8746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30</w:t>
      </w:r>
      <w:r w:rsidRPr="0086035E">
        <w:rPr>
          <w:rFonts w:ascii="Verdana" w:hAnsi="Verdana"/>
          <w:sz w:val="20"/>
          <w:szCs w:val="20"/>
        </w:rPr>
        <w:t>.</w:t>
      </w:r>
    </w:p>
    <w:p w14:paraId="3C5F61A1" w14:textId="0AAE49C7" w:rsidR="00CB5E5A" w:rsidRDefault="00735D90" w:rsidP="00A87460">
      <w:pPr>
        <w:jc w:val="both"/>
        <w:rPr>
          <w:rFonts w:ascii="Verdana" w:hAnsi="Verdana"/>
          <w:sz w:val="20"/>
          <w:szCs w:val="20"/>
        </w:rPr>
      </w:pPr>
      <w:r w:rsidRPr="00735D90">
        <w:rPr>
          <w:rFonts w:ascii="Verdana" w:hAnsi="Verdana"/>
          <w:sz w:val="20"/>
          <w:szCs w:val="20"/>
        </w:rPr>
        <w:t>La entidad debe identificar el RTILB de todos los activos, pasivos y partidas fuera de balance expuestas a</w:t>
      </w:r>
      <w:r w:rsidR="003D58A3">
        <w:rPr>
          <w:rFonts w:ascii="Verdana" w:hAnsi="Verdana"/>
          <w:sz w:val="20"/>
          <w:szCs w:val="20"/>
        </w:rPr>
        <w:t xml:space="preserve">l </w:t>
      </w:r>
      <w:r w:rsidR="00BC5ACC">
        <w:rPr>
          <w:rFonts w:ascii="Verdana" w:hAnsi="Verdana"/>
          <w:sz w:val="20"/>
          <w:szCs w:val="20"/>
        </w:rPr>
        <w:t>RTILB</w:t>
      </w:r>
      <w:r w:rsidRPr="00735D90">
        <w:rPr>
          <w:rFonts w:ascii="Verdana" w:hAnsi="Verdana"/>
          <w:sz w:val="20"/>
          <w:szCs w:val="20"/>
        </w:rPr>
        <w:t>, así como las distintas fuentes de este riesgo. Para estos efectos, debe tener en cuenta los riesgos de brecha, base y opcionalidad, según se describe a continuación: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57"/>
        <w:gridCol w:w="7071"/>
      </w:tblGrid>
      <w:tr w:rsidR="00441527" w:rsidRPr="00F565CC" w14:paraId="0310307F" w14:textId="77777777" w:rsidTr="009B4535">
        <w:trPr>
          <w:trHeight w:val="291"/>
          <w:tblHeader/>
        </w:trPr>
        <w:tc>
          <w:tcPr>
            <w:tcW w:w="0" w:type="auto"/>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153CA611" w14:textId="0CE82D28" w:rsidR="00441527" w:rsidRPr="00441527" w:rsidRDefault="00441527" w:rsidP="00441527">
            <w:pPr>
              <w:jc w:val="center"/>
              <w:rPr>
                <w:rFonts w:ascii="Arial" w:hAnsi="Arial" w:cs="Arial"/>
                <w:b/>
                <w:bCs/>
                <w:color w:val="000000"/>
                <w:sz w:val="18"/>
                <w:szCs w:val="18"/>
                <w:lang w:eastAsia="es-CO"/>
              </w:rPr>
            </w:pPr>
            <w:r w:rsidRPr="00441527">
              <w:rPr>
                <w:rFonts w:ascii="Arial" w:hAnsi="Arial" w:cs="Arial"/>
                <w:b/>
                <w:bCs/>
                <w:color w:val="000000"/>
                <w:sz w:val="18"/>
                <w:szCs w:val="18"/>
                <w:lang w:eastAsia="es-CO"/>
              </w:rPr>
              <w:t>Fuente de RTILB</w:t>
            </w:r>
          </w:p>
        </w:tc>
        <w:tc>
          <w:tcPr>
            <w:tcW w:w="0" w:type="auto"/>
            <w:tcBorders>
              <w:left w:val="single" w:sz="4" w:space="0" w:color="auto"/>
            </w:tcBorders>
            <w:shd w:val="clear" w:color="auto" w:fill="D1D1D1" w:themeFill="background2" w:themeFillShade="E6"/>
            <w:noWrap/>
            <w:vAlign w:val="center"/>
            <w:hideMark/>
          </w:tcPr>
          <w:p w14:paraId="52BBA0AF" w14:textId="77777777" w:rsidR="00441527" w:rsidRPr="00441527" w:rsidRDefault="00441527" w:rsidP="00441527">
            <w:pPr>
              <w:jc w:val="center"/>
              <w:rPr>
                <w:rFonts w:ascii="Arial" w:hAnsi="Arial" w:cs="Arial"/>
                <w:b/>
                <w:bCs/>
                <w:color w:val="000000"/>
                <w:sz w:val="18"/>
                <w:szCs w:val="18"/>
                <w:lang w:eastAsia="es-CO"/>
              </w:rPr>
            </w:pPr>
            <w:r w:rsidRPr="00441527">
              <w:rPr>
                <w:rFonts w:ascii="Arial" w:hAnsi="Arial" w:cs="Arial"/>
                <w:b/>
                <w:bCs/>
                <w:color w:val="000000"/>
                <w:sz w:val="18"/>
                <w:szCs w:val="18"/>
                <w:lang w:eastAsia="es-CO"/>
              </w:rPr>
              <w:t>Definición</w:t>
            </w:r>
          </w:p>
        </w:tc>
      </w:tr>
      <w:tr w:rsidR="00441527" w:rsidRPr="00F565CC" w14:paraId="6566EBC3" w14:textId="77777777">
        <w:trPr>
          <w:trHeight w:val="1030"/>
        </w:trPr>
        <w:tc>
          <w:tcPr>
            <w:tcW w:w="0" w:type="auto"/>
            <w:tcBorders>
              <w:top w:val="single" w:sz="4" w:space="0" w:color="auto"/>
              <w:left w:val="single" w:sz="4" w:space="0" w:color="auto"/>
              <w:bottom w:val="single" w:sz="4" w:space="0" w:color="auto"/>
              <w:right w:val="single" w:sz="4" w:space="0" w:color="auto"/>
            </w:tcBorders>
            <w:vAlign w:val="center"/>
            <w:hideMark/>
          </w:tcPr>
          <w:p w14:paraId="1F21203A" w14:textId="77777777" w:rsidR="00441527" w:rsidRPr="00441527" w:rsidRDefault="00441527">
            <w:pPr>
              <w:jc w:val="center"/>
              <w:rPr>
                <w:rFonts w:ascii="Arial" w:hAnsi="Arial" w:cs="Arial"/>
                <w:sz w:val="18"/>
                <w:szCs w:val="18"/>
                <w:lang w:eastAsia="es-CO"/>
              </w:rPr>
            </w:pPr>
            <w:r w:rsidRPr="00441527">
              <w:rPr>
                <w:rFonts w:ascii="Arial" w:hAnsi="Arial" w:cs="Arial"/>
                <w:sz w:val="18"/>
                <w:szCs w:val="18"/>
                <w:lang w:eastAsia="es-CO"/>
              </w:rPr>
              <w:t xml:space="preserve">Riesgo de Brecha – </w:t>
            </w:r>
            <w:r w:rsidRPr="00441527">
              <w:rPr>
                <w:rFonts w:ascii="Arial" w:hAnsi="Arial" w:cs="Arial"/>
                <w:i/>
                <w:sz w:val="18"/>
                <w:szCs w:val="18"/>
                <w:lang w:eastAsia="es-CO"/>
              </w:rPr>
              <w:t xml:space="preserve">gap </w:t>
            </w:r>
            <w:proofErr w:type="spellStart"/>
            <w:r w:rsidRPr="00441527">
              <w:rPr>
                <w:rFonts w:ascii="Arial" w:hAnsi="Arial" w:cs="Arial"/>
                <w:i/>
                <w:sz w:val="18"/>
                <w:szCs w:val="18"/>
                <w:lang w:eastAsia="es-CO"/>
              </w:rPr>
              <w:t>risk</w:t>
            </w:r>
            <w:proofErr w:type="spellEnd"/>
          </w:p>
        </w:tc>
        <w:tc>
          <w:tcPr>
            <w:tcW w:w="0" w:type="auto"/>
            <w:tcBorders>
              <w:left w:val="single" w:sz="4" w:space="0" w:color="auto"/>
            </w:tcBorders>
            <w:hideMark/>
          </w:tcPr>
          <w:p w14:paraId="54DE0B5E" w14:textId="77777777" w:rsidR="00441527" w:rsidRPr="00441527" w:rsidRDefault="00441527">
            <w:pPr>
              <w:jc w:val="both"/>
              <w:rPr>
                <w:rFonts w:ascii="Arial" w:hAnsi="Arial" w:cs="Arial"/>
                <w:sz w:val="18"/>
                <w:szCs w:val="18"/>
                <w:lang w:eastAsia="es-CO"/>
              </w:rPr>
            </w:pPr>
            <w:r w:rsidRPr="00441527">
              <w:rPr>
                <w:rFonts w:ascii="Arial" w:hAnsi="Arial" w:cs="Arial"/>
                <w:sz w:val="18"/>
                <w:szCs w:val="18"/>
                <w:lang w:eastAsia="es-CO"/>
              </w:rPr>
              <w:t>Resulta del descalce (brecha entre activos y pasivos en el balance de la entidad para una determinada fecha y banda de tiempo) en la estructura temporal de los instrumentos expuestos al RTILB. Se refiere el riesgo resultante del perfil temporal de las variaciones de las tasas de interés de estos instrumentos. La extensión del riesgo de brecha depende de si los cambios en la estructura temporal de las tasas de interés ocurren consistentemente a través de la curva de rendimiento (riesgo paralelo) o de manera diferenciada según el plazo (riesgo no paralelo).</w:t>
            </w:r>
          </w:p>
        </w:tc>
      </w:tr>
      <w:tr w:rsidR="00441527" w:rsidRPr="00F565CC" w14:paraId="049B15D4" w14:textId="77777777">
        <w:trPr>
          <w:trHeight w:val="687"/>
        </w:trPr>
        <w:tc>
          <w:tcPr>
            <w:tcW w:w="0" w:type="auto"/>
            <w:tcBorders>
              <w:top w:val="single" w:sz="4" w:space="0" w:color="auto"/>
              <w:left w:val="single" w:sz="4" w:space="0" w:color="auto"/>
              <w:bottom w:val="single" w:sz="4" w:space="0" w:color="auto"/>
              <w:right w:val="single" w:sz="4" w:space="0" w:color="auto"/>
            </w:tcBorders>
            <w:vAlign w:val="center"/>
            <w:hideMark/>
          </w:tcPr>
          <w:p w14:paraId="386F9725" w14:textId="77777777" w:rsidR="00441527" w:rsidRPr="00441527" w:rsidRDefault="00441527">
            <w:pPr>
              <w:jc w:val="center"/>
              <w:rPr>
                <w:rFonts w:ascii="Arial" w:hAnsi="Arial" w:cs="Arial"/>
                <w:sz w:val="18"/>
                <w:szCs w:val="18"/>
                <w:lang w:eastAsia="es-CO"/>
              </w:rPr>
            </w:pPr>
            <w:r w:rsidRPr="00441527">
              <w:rPr>
                <w:rFonts w:ascii="Arial" w:hAnsi="Arial" w:cs="Arial"/>
                <w:sz w:val="18"/>
                <w:szCs w:val="18"/>
                <w:lang w:eastAsia="es-CO"/>
              </w:rPr>
              <w:t xml:space="preserve">Riesgo de Base – </w:t>
            </w:r>
            <w:r w:rsidRPr="00441527">
              <w:rPr>
                <w:rFonts w:ascii="Arial" w:hAnsi="Arial" w:cs="Arial"/>
                <w:i/>
                <w:iCs/>
                <w:sz w:val="18"/>
                <w:szCs w:val="18"/>
                <w:lang w:eastAsia="es-CO"/>
              </w:rPr>
              <w:t xml:space="preserve">basis </w:t>
            </w:r>
            <w:proofErr w:type="spellStart"/>
            <w:r w:rsidRPr="00441527">
              <w:rPr>
                <w:rFonts w:ascii="Arial" w:hAnsi="Arial" w:cs="Arial"/>
                <w:i/>
                <w:iCs/>
                <w:sz w:val="18"/>
                <w:szCs w:val="18"/>
                <w:lang w:eastAsia="es-CO"/>
              </w:rPr>
              <w:t>risk</w:t>
            </w:r>
            <w:proofErr w:type="spellEnd"/>
          </w:p>
        </w:tc>
        <w:tc>
          <w:tcPr>
            <w:tcW w:w="0" w:type="auto"/>
            <w:tcBorders>
              <w:left w:val="single" w:sz="4" w:space="0" w:color="auto"/>
            </w:tcBorders>
            <w:hideMark/>
          </w:tcPr>
          <w:p w14:paraId="2C063139" w14:textId="77777777" w:rsidR="00441527" w:rsidRPr="00441527" w:rsidRDefault="00441527">
            <w:pPr>
              <w:jc w:val="both"/>
              <w:rPr>
                <w:rFonts w:ascii="Arial" w:hAnsi="Arial" w:cs="Arial"/>
                <w:sz w:val="18"/>
                <w:szCs w:val="18"/>
                <w:lang w:eastAsia="es-CO"/>
              </w:rPr>
            </w:pPr>
            <w:r w:rsidRPr="00441527">
              <w:rPr>
                <w:rFonts w:ascii="Arial" w:hAnsi="Arial" w:cs="Arial"/>
                <w:sz w:val="18"/>
                <w:szCs w:val="18"/>
                <w:lang w:eastAsia="es-CO"/>
              </w:rPr>
              <w:t>Corresponde al impacto de cambios relativos en las tasas de interés para instrumentos financieros que tienen plazos de vencimientos similares, pero cuyos precios son fijados usando diferentes índices de tasas de interés.</w:t>
            </w:r>
          </w:p>
        </w:tc>
      </w:tr>
      <w:tr w:rsidR="00441527" w:rsidRPr="00F565CC" w14:paraId="4E02A84F" w14:textId="77777777">
        <w:trPr>
          <w:trHeight w:val="687"/>
        </w:trPr>
        <w:tc>
          <w:tcPr>
            <w:tcW w:w="0" w:type="auto"/>
            <w:tcBorders>
              <w:top w:val="single" w:sz="4" w:space="0" w:color="auto"/>
              <w:left w:val="single" w:sz="4" w:space="0" w:color="auto"/>
              <w:bottom w:val="single" w:sz="4" w:space="0" w:color="auto"/>
              <w:right w:val="single" w:sz="4" w:space="0" w:color="auto"/>
            </w:tcBorders>
            <w:vAlign w:val="center"/>
            <w:hideMark/>
          </w:tcPr>
          <w:p w14:paraId="4CA10962" w14:textId="77777777" w:rsidR="00441527" w:rsidRPr="00441527" w:rsidRDefault="00441527">
            <w:pPr>
              <w:jc w:val="center"/>
              <w:rPr>
                <w:rFonts w:ascii="Arial" w:hAnsi="Arial" w:cs="Arial"/>
                <w:sz w:val="18"/>
                <w:szCs w:val="18"/>
                <w:lang w:eastAsia="es-CO"/>
              </w:rPr>
            </w:pPr>
            <w:r w:rsidRPr="00441527">
              <w:rPr>
                <w:rFonts w:ascii="Arial" w:hAnsi="Arial" w:cs="Arial"/>
                <w:sz w:val="18"/>
                <w:szCs w:val="18"/>
                <w:lang w:eastAsia="es-CO"/>
              </w:rPr>
              <w:t xml:space="preserve">Riesgo de Opción </w:t>
            </w:r>
            <w:r w:rsidRPr="00441527">
              <w:rPr>
                <w:rFonts w:ascii="Arial" w:hAnsi="Arial" w:cs="Arial"/>
                <w:i/>
                <w:iCs/>
                <w:sz w:val="18"/>
                <w:szCs w:val="18"/>
                <w:lang w:eastAsia="es-CO"/>
              </w:rPr>
              <w:t xml:space="preserve">– </w:t>
            </w:r>
            <w:proofErr w:type="spellStart"/>
            <w:r w:rsidRPr="00441527">
              <w:rPr>
                <w:rFonts w:ascii="Arial" w:hAnsi="Arial" w:cs="Arial"/>
                <w:i/>
                <w:iCs/>
                <w:sz w:val="18"/>
                <w:szCs w:val="18"/>
                <w:lang w:eastAsia="es-CO"/>
              </w:rPr>
              <w:t>option</w:t>
            </w:r>
            <w:proofErr w:type="spellEnd"/>
            <w:r w:rsidRPr="00441527">
              <w:rPr>
                <w:rFonts w:ascii="Arial" w:hAnsi="Arial" w:cs="Arial"/>
                <w:i/>
                <w:iCs/>
                <w:sz w:val="18"/>
                <w:szCs w:val="18"/>
                <w:lang w:eastAsia="es-CO"/>
              </w:rPr>
              <w:t xml:space="preserve"> </w:t>
            </w:r>
            <w:proofErr w:type="spellStart"/>
            <w:r w:rsidRPr="00441527">
              <w:rPr>
                <w:rFonts w:ascii="Arial" w:hAnsi="Arial" w:cs="Arial"/>
                <w:i/>
                <w:iCs/>
                <w:sz w:val="18"/>
                <w:szCs w:val="18"/>
                <w:lang w:eastAsia="es-CO"/>
              </w:rPr>
              <w:t>risk</w:t>
            </w:r>
            <w:proofErr w:type="spellEnd"/>
          </w:p>
        </w:tc>
        <w:tc>
          <w:tcPr>
            <w:tcW w:w="0" w:type="auto"/>
            <w:tcBorders>
              <w:left w:val="single" w:sz="4" w:space="0" w:color="auto"/>
            </w:tcBorders>
            <w:hideMark/>
          </w:tcPr>
          <w:p w14:paraId="58F1C440" w14:textId="5F0CF796" w:rsidR="00441527" w:rsidRPr="00441527" w:rsidRDefault="00441527">
            <w:pPr>
              <w:jc w:val="both"/>
              <w:rPr>
                <w:rFonts w:ascii="Arial" w:hAnsi="Arial" w:cs="Arial"/>
                <w:sz w:val="18"/>
                <w:szCs w:val="18"/>
                <w:lang w:eastAsia="es-CO"/>
              </w:rPr>
            </w:pPr>
            <w:r w:rsidRPr="00441527">
              <w:rPr>
                <w:rFonts w:ascii="Arial" w:hAnsi="Arial" w:cs="Arial"/>
                <w:sz w:val="18"/>
                <w:szCs w:val="18"/>
                <w:lang w:eastAsia="es-CO"/>
              </w:rPr>
              <w:t>Es la probabilidad de que la entidad incurra en pérdidas como consecuencia del ejercicio de opciones incorporadas implícita o explícitamente en los activos, pasivos y partidas de fuera de balance, que contractual y legalmente están expuestos, por ejemplo</w:t>
            </w:r>
            <w:r w:rsidR="001309F6">
              <w:rPr>
                <w:rFonts w:ascii="Arial" w:hAnsi="Arial" w:cs="Arial"/>
                <w:sz w:val="18"/>
                <w:szCs w:val="18"/>
                <w:lang w:eastAsia="es-CO"/>
              </w:rPr>
              <w:t>,</w:t>
            </w:r>
            <w:r w:rsidRPr="00441527">
              <w:rPr>
                <w:rFonts w:ascii="Arial" w:hAnsi="Arial" w:cs="Arial"/>
                <w:sz w:val="18"/>
                <w:szCs w:val="18"/>
                <w:lang w:eastAsia="es-CO"/>
              </w:rPr>
              <w:t xml:space="preserve"> el prepago de los créditos.</w:t>
            </w:r>
          </w:p>
        </w:tc>
      </w:tr>
    </w:tbl>
    <w:p w14:paraId="22DF228B" w14:textId="77777777" w:rsidR="00257E41" w:rsidRDefault="00257E41" w:rsidP="00A87460">
      <w:pPr>
        <w:spacing w:after="0"/>
        <w:jc w:val="both"/>
        <w:rPr>
          <w:rFonts w:ascii="Verdana" w:hAnsi="Verdana"/>
          <w:sz w:val="20"/>
          <w:szCs w:val="20"/>
        </w:rPr>
      </w:pPr>
    </w:p>
    <w:p w14:paraId="493019B4" w14:textId="77777777" w:rsidR="004E37E7" w:rsidRDefault="004E37E7" w:rsidP="00A87460">
      <w:pPr>
        <w:spacing w:after="0"/>
        <w:jc w:val="both"/>
        <w:rPr>
          <w:rFonts w:ascii="Verdana" w:hAnsi="Verdana"/>
          <w:sz w:val="20"/>
          <w:szCs w:val="20"/>
        </w:rPr>
      </w:pPr>
    </w:p>
    <w:p w14:paraId="652162F3" w14:textId="48DC5EDD" w:rsidR="00A87460" w:rsidRPr="0086035E" w:rsidRDefault="00A87460" w:rsidP="00A87460">
      <w:pPr>
        <w:spacing w:after="0"/>
        <w:jc w:val="both"/>
        <w:rPr>
          <w:rFonts w:ascii="Verdana" w:hAnsi="Verdana"/>
          <w:sz w:val="20"/>
          <w:szCs w:val="20"/>
        </w:rPr>
      </w:pPr>
      <w:r w:rsidRPr="0086035E">
        <w:rPr>
          <w:rFonts w:ascii="Verdana" w:hAnsi="Verdana"/>
          <w:sz w:val="20"/>
          <w:szCs w:val="20"/>
        </w:rPr>
        <w:lastRenderedPageBreak/>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31</w:t>
      </w:r>
      <w:r w:rsidRPr="0086035E">
        <w:rPr>
          <w:rFonts w:ascii="Verdana" w:hAnsi="Verdana"/>
          <w:sz w:val="20"/>
          <w:szCs w:val="20"/>
        </w:rPr>
        <w:t>.</w:t>
      </w:r>
    </w:p>
    <w:p w14:paraId="4CDDE4A2" w14:textId="06F068DC" w:rsidR="00A87460" w:rsidRDefault="00360ABE" w:rsidP="00A87460">
      <w:pPr>
        <w:jc w:val="both"/>
        <w:rPr>
          <w:rFonts w:ascii="Verdana" w:hAnsi="Verdana"/>
          <w:sz w:val="20"/>
          <w:szCs w:val="20"/>
        </w:rPr>
      </w:pPr>
      <w:r w:rsidRPr="00360ABE">
        <w:rPr>
          <w:rFonts w:ascii="Verdana" w:hAnsi="Verdana"/>
          <w:sz w:val="20"/>
          <w:szCs w:val="20"/>
        </w:rPr>
        <w:t>El apetito de riesgo de la entidad por el RTILB debe expresarse en términos del impacto de la fluctuación de las tasas de interés tanto en el MNI como en el VEP y debe reflejarse en los límites. Las entidades con exposiciones significativas al riesgo de brecha, riesgo de base o riesgo de opcionalidad deben determinar su apetito de riesgo en relación con cada una de estas fuentes de RTILB.</w:t>
      </w:r>
    </w:p>
    <w:p w14:paraId="77990B51" w14:textId="5F7C3F7A" w:rsidR="00A87460" w:rsidRPr="0086035E" w:rsidRDefault="00A87460" w:rsidP="00A8746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6039A5">
        <w:rPr>
          <w:rFonts w:ascii="Verdana" w:hAnsi="Verdana"/>
          <w:sz w:val="20"/>
          <w:szCs w:val="20"/>
        </w:rPr>
        <w:t>3</w:t>
      </w:r>
      <w:r w:rsidR="00CD417D">
        <w:rPr>
          <w:rFonts w:ascii="Verdana" w:hAnsi="Verdana"/>
          <w:sz w:val="20"/>
          <w:szCs w:val="20"/>
        </w:rPr>
        <w:t>2</w:t>
      </w:r>
      <w:r w:rsidRPr="0086035E">
        <w:rPr>
          <w:rFonts w:ascii="Verdana" w:hAnsi="Verdana"/>
          <w:sz w:val="20"/>
          <w:szCs w:val="20"/>
        </w:rPr>
        <w:t>.</w:t>
      </w:r>
    </w:p>
    <w:p w14:paraId="455414EB" w14:textId="1AC24B2F" w:rsidR="00A87460" w:rsidRDefault="00DF75B8" w:rsidP="00A87460">
      <w:pPr>
        <w:jc w:val="both"/>
        <w:rPr>
          <w:rFonts w:ascii="Verdana" w:hAnsi="Verdana"/>
          <w:sz w:val="20"/>
          <w:szCs w:val="20"/>
        </w:rPr>
      </w:pPr>
      <w:r w:rsidRPr="00DF75B8">
        <w:rPr>
          <w:rFonts w:ascii="Verdana" w:hAnsi="Verdana"/>
          <w:sz w:val="20"/>
          <w:szCs w:val="20"/>
        </w:rPr>
        <w:t>Los supuestos de los modelos que la entidad debe considerar para efectos de la gestión del RTILB deben ser conceptualmente sólidos, razonables y consistentes con su experiencia histórica incluyendo además el ejercicio de la opcionalidad comportamental en escenarios de tensión y perturbación de las tasas de interés.</w:t>
      </w:r>
      <w:r w:rsidR="00A87460" w:rsidRPr="008D1A73">
        <w:rPr>
          <w:rFonts w:ascii="Verdana" w:hAnsi="Verdana"/>
          <w:sz w:val="20"/>
          <w:szCs w:val="20"/>
        </w:rPr>
        <w:t xml:space="preserve"> </w:t>
      </w:r>
    </w:p>
    <w:p w14:paraId="45B343D4" w14:textId="4B8124E8" w:rsidR="00A87460" w:rsidRPr="0086035E" w:rsidRDefault="00A87460" w:rsidP="00A8746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8B4CC9">
        <w:rPr>
          <w:rFonts w:ascii="Verdana" w:hAnsi="Verdana"/>
          <w:sz w:val="20"/>
          <w:szCs w:val="20"/>
        </w:rPr>
        <w:t>3</w:t>
      </w:r>
      <w:r w:rsidR="00CD417D">
        <w:rPr>
          <w:rFonts w:ascii="Verdana" w:hAnsi="Verdana"/>
          <w:sz w:val="20"/>
          <w:szCs w:val="20"/>
        </w:rPr>
        <w:t>3</w:t>
      </w:r>
      <w:r w:rsidRPr="0086035E">
        <w:rPr>
          <w:rFonts w:ascii="Verdana" w:hAnsi="Verdana"/>
          <w:sz w:val="20"/>
          <w:szCs w:val="20"/>
        </w:rPr>
        <w:t>.</w:t>
      </w:r>
    </w:p>
    <w:p w14:paraId="093DE84C" w14:textId="4203E939" w:rsidR="00A87460" w:rsidRPr="00394325" w:rsidRDefault="00394325" w:rsidP="00A87460">
      <w:pPr>
        <w:jc w:val="both"/>
        <w:rPr>
          <w:rFonts w:ascii="Verdana" w:hAnsi="Verdana"/>
          <w:sz w:val="20"/>
          <w:szCs w:val="20"/>
          <w:lang w:val="es-ES"/>
        </w:rPr>
      </w:pPr>
      <w:r w:rsidRPr="00394325">
        <w:rPr>
          <w:rFonts w:ascii="Verdana" w:hAnsi="Verdana"/>
          <w:sz w:val="20"/>
          <w:szCs w:val="20"/>
        </w:rPr>
        <w:t>Las entidades que utilicen instrumentos derivados para mitigar las exposiciones de RTILB e implementen modelos de comportamiento de los clientes como datos de entrada para la medición de este riesgo, deben poseer el conocimiento y la experiencia necesaria</w:t>
      </w:r>
      <w:r w:rsidR="00FA55C6">
        <w:rPr>
          <w:rFonts w:ascii="Verdana" w:hAnsi="Verdana"/>
          <w:sz w:val="20"/>
          <w:szCs w:val="20"/>
        </w:rPr>
        <w:t xml:space="preserve">; </w:t>
      </w:r>
      <w:r w:rsidR="00ED4048">
        <w:rPr>
          <w:rFonts w:ascii="Verdana" w:hAnsi="Verdana"/>
          <w:sz w:val="20"/>
          <w:szCs w:val="20"/>
        </w:rPr>
        <w:t>c</w:t>
      </w:r>
      <w:r w:rsidRPr="00394325">
        <w:rPr>
          <w:rFonts w:ascii="Verdana" w:hAnsi="Verdana"/>
          <w:sz w:val="20"/>
          <w:szCs w:val="20"/>
        </w:rPr>
        <w:t>ada entidad debe reflejar en los reportes de gestión interna y en la información que reporta a la SFC que comprende las consecuencias de la cobertura con derivados de tasa de interés, así como las consecuencias de modelar el comportamiento de su base de clientes.</w:t>
      </w:r>
    </w:p>
    <w:p w14:paraId="696382A6" w14:textId="4AB38345" w:rsidR="00D31F21" w:rsidRPr="00732E97" w:rsidRDefault="00D31F21" w:rsidP="00D31F21">
      <w:pPr>
        <w:pStyle w:val="Prrafodelista"/>
        <w:numPr>
          <w:ilvl w:val="0"/>
          <w:numId w:val="2"/>
        </w:numPr>
        <w:ind w:left="284" w:hanging="284"/>
        <w:jc w:val="both"/>
        <w:rPr>
          <w:rFonts w:ascii="Verdana" w:hAnsi="Verdana"/>
          <w:b/>
          <w:bCs/>
          <w:sz w:val="20"/>
          <w:szCs w:val="20"/>
        </w:rPr>
      </w:pPr>
      <w:r>
        <w:rPr>
          <w:rFonts w:ascii="Verdana" w:hAnsi="Verdana"/>
          <w:b/>
          <w:bCs/>
          <w:sz w:val="20"/>
          <w:szCs w:val="20"/>
        </w:rPr>
        <w:t>Medición</w:t>
      </w:r>
    </w:p>
    <w:p w14:paraId="299818C9" w14:textId="09F053BF" w:rsidR="00D31F21" w:rsidRPr="0086035E" w:rsidRDefault="00D31F21" w:rsidP="00D31F21">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0A648C">
        <w:rPr>
          <w:rFonts w:ascii="Verdana" w:hAnsi="Verdana"/>
          <w:sz w:val="20"/>
          <w:szCs w:val="20"/>
        </w:rPr>
        <w:t>3</w:t>
      </w:r>
      <w:r w:rsidR="008B4CC9">
        <w:rPr>
          <w:rFonts w:ascii="Verdana" w:hAnsi="Verdana"/>
          <w:sz w:val="20"/>
          <w:szCs w:val="20"/>
        </w:rPr>
        <w:t>3</w:t>
      </w:r>
      <w:r w:rsidR="00CD417D">
        <w:rPr>
          <w:rFonts w:ascii="Verdana" w:hAnsi="Verdana"/>
          <w:sz w:val="20"/>
          <w:szCs w:val="20"/>
        </w:rPr>
        <w:t>4</w:t>
      </w:r>
      <w:r w:rsidRPr="0086035E">
        <w:rPr>
          <w:rFonts w:ascii="Verdana" w:hAnsi="Verdana"/>
          <w:sz w:val="20"/>
          <w:szCs w:val="20"/>
        </w:rPr>
        <w:t>.</w:t>
      </w:r>
    </w:p>
    <w:p w14:paraId="4AFBA1DF" w14:textId="0FF43536" w:rsidR="00D31F21" w:rsidRDefault="00D31F21" w:rsidP="00D31F21">
      <w:pPr>
        <w:jc w:val="both"/>
        <w:rPr>
          <w:rFonts w:ascii="Verdana" w:hAnsi="Verdana"/>
          <w:sz w:val="20"/>
          <w:szCs w:val="20"/>
        </w:rPr>
      </w:pPr>
      <w:r w:rsidRPr="00D01D7F">
        <w:rPr>
          <w:rFonts w:ascii="Verdana" w:hAnsi="Verdana"/>
          <w:sz w:val="20"/>
          <w:szCs w:val="20"/>
        </w:rPr>
        <w:t>La entidad</w:t>
      </w:r>
      <w:r w:rsidR="00801BB8" w:rsidRPr="00801BB8">
        <w:t xml:space="preserve"> </w:t>
      </w:r>
      <w:r w:rsidR="00801BB8" w:rsidRPr="00801BB8">
        <w:rPr>
          <w:rFonts w:ascii="Verdana" w:hAnsi="Verdana"/>
          <w:sz w:val="20"/>
          <w:szCs w:val="20"/>
        </w:rPr>
        <w:t>debe contar con un sistema de información, procesos y metodologías adecuadas para:</w:t>
      </w:r>
    </w:p>
    <w:p w14:paraId="41AC3B97" w14:textId="77777777" w:rsidR="00204E6C" w:rsidRDefault="00284666" w:rsidP="00284666">
      <w:pPr>
        <w:pStyle w:val="Prrafodelista"/>
        <w:numPr>
          <w:ilvl w:val="0"/>
          <w:numId w:val="86"/>
        </w:numPr>
        <w:ind w:left="567" w:hanging="567"/>
        <w:jc w:val="both"/>
        <w:rPr>
          <w:rFonts w:ascii="Verdana" w:hAnsi="Verdana"/>
          <w:sz w:val="20"/>
          <w:szCs w:val="20"/>
        </w:rPr>
      </w:pPr>
      <w:r w:rsidRPr="00284666">
        <w:rPr>
          <w:rFonts w:ascii="Verdana" w:hAnsi="Verdana"/>
          <w:sz w:val="20"/>
          <w:szCs w:val="20"/>
        </w:rPr>
        <w:t>Cuantificar el RTILB</w:t>
      </w:r>
      <w:r>
        <w:rPr>
          <w:rFonts w:ascii="Verdana" w:hAnsi="Verdana"/>
          <w:sz w:val="20"/>
          <w:szCs w:val="20"/>
        </w:rPr>
        <w:t>.</w:t>
      </w:r>
    </w:p>
    <w:p w14:paraId="3B076C89" w14:textId="77777777" w:rsidR="001C2E8F" w:rsidRDefault="001C2E8F" w:rsidP="001C2E8F">
      <w:pPr>
        <w:pStyle w:val="Prrafodelista"/>
        <w:ind w:left="567"/>
        <w:jc w:val="both"/>
        <w:rPr>
          <w:rFonts w:ascii="Verdana" w:hAnsi="Verdana"/>
          <w:sz w:val="20"/>
          <w:szCs w:val="20"/>
        </w:rPr>
      </w:pPr>
    </w:p>
    <w:p w14:paraId="1794ED2C" w14:textId="77777777" w:rsidR="00204E6C" w:rsidRDefault="00284666" w:rsidP="00284666">
      <w:pPr>
        <w:pStyle w:val="Prrafodelista"/>
        <w:numPr>
          <w:ilvl w:val="0"/>
          <w:numId w:val="86"/>
        </w:numPr>
        <w:ind w:left="567" w:hanging="567"/>
        <w:jc w:val="both"/>
        <w:rPr>
          <w:rFonts w:ascii="Verdana" w:hAnsi="Verdana"/>
          <w:sz w:val="20"/>
          <w:szCs w:val="20"/>
        </w:rPr>
      </w:pPr>
      <w:r w:rsidRPr="00284666">
        <w:rPr>
          <w:rFonts w:ascii="Verdana" w:hAnsi="Verdana"/>
          <w:sz w:val="20"/>
          <w:szCs w:val="20"/>
        </w:rPr>
        <w:t>Calcular su impacto en el MNI y en el VEP</w:t>
      </w:r>
      <w:r w:rsidR="00204E6C">
        <w:rPr>
          <w:rFonts w:ascii="Verdana" w:hAnsi="Verdana"/>
          <w:sz w:val="20"/>
          <w:szCs w:val="20"/>
        </w:rPr>
        <w:t>.</w:t>
      </w:r>
    </w:p>
    <w:p w14:paraId="52F23311" w14:textId="77777777" w:rsidR="001C2E8F" w:rsidRDefault="001C2E8F" w:rsidP="001C2E8F">
      <w:pPr>
        <w:pStyle w:val="Prrafodelista"/>
        <w:ind w:left="567"/>
        <w:jc w:val="both"/>
        <w:rPr>
          <w:rFonts w:ascii="Verdana" w:hAnsi="Verdana"/>
          <w:sz w:val="20"/>
          <w:szCs w:val="20"/>
        </w:rPr>
      </w:pPr>
    </w:p>
    <w:p w14:paraId="02FBB4FD" w14:textId="26DBA268" w:rsidR="00204E6C" w:rsidRDefault="00284666" w:rsidP="00284666">
      <w:pPr>
        <w:pStyle w:val="Prrafodelista"/>
        <w:numPr>
          <w:ilvl w:val="0"/>
          <w:numId w:val="86"/>
        </w:numPr>
        <w:ind w:left="567" w:hanging="567"/>
        <w:jc w:val="both"/>
        <w:rPr>
          <w:rFonts w:ascii="Verdana" w:hAnsi="Verdana"/>
          <w:sz w:val="20"/>
          <w:szCs w:val="20"/>
        </w:rPr>
      </w:pPr>
      <w:r w:rsidRPr="00204E6C">
        <w:rPr>
          <w:rFonts w:ascii="Verdana" w:hAnsi="Verdana"/>
          <w:sz w:val="20"/>
          <w:szCs w:val="20"/>
        </w:rPr>
        <w:t>Evaluar su relación con el apetito de riesgo, el plan de negocio, los límites, coberturas y el capital</w:t>
      </w:r>
      <w:r w:rsidR="00204E6C">
        <w:rPr>
          <w:rFonts w:ascii="Verdana" w:hAnsi="Verdana"/>
          <w:sz w:val="20"/>
          <w:szCs w:val="20"/>
        </w:rPr>
        <w:t>.</w:t>
      </w:r>
    </w:p>
    <w:p w14:paraId="36413CA0" w14:textId="77777777" w:rsidR="001C2E8F" w:rsidRDefault="001C2E8F" w:rsidP="001C2E8F">
      <w:pPr>
        <w:pStyle w:val="Prrafodelista"/>
        <w:ind w:left="567"/>
        <w:jc w:val="both"/>
        <w:rPr>
          <w:rFonts w:ascii="Verdana" w:hAnsi="Verdana"/>
          <w:sz w:val="20"/>
          <w:szCs w:val="20"/>
        </w:rPr>
      </w:pPr>
    </w:p>
    <w:p w14:paraId="42DF5DBC" w14:textId="309DF15D" w:rsidR="00284666" w:rsidRPr="00204E6C" w:rsidRDefault="00284666" w:rsidP="00284666">
      <w:pPr>
        <w:pStyle w:val="Prrafodelista"/>
        <w:numPr>
          <w:ilvl w:val="0"/>
          <w:numId w:val="86"/>
        </w:numPr>
        <w:ind w:left="567" w:hanging="567"/>
        <w:jc w:val="both"/>
        <w:rPr>
          <w:rFonts w:ascii="Verdana" w:hAnsi="Verdana"/>
          <w:sz w:val="20"/>
          <w:szCs w:val="20"/>
        </w:rPr>
      </w:pPr>
      <w:r w:rsidRPr="00204E6C">
        <w:rPr>
          <w:rFonts w:ascii="Verdana" w:hAnsi="Verdana"/>
          <w:sz w:val="20"/>
          <w:szCs w:val="20"/>
        </w:rPr>
        <w:t>Realizar el análisis de sensibilidad de las variables relevantes de la entidad y escenarios normales y adversos para la gestión de este riesgo.</w:t>
      </w:r>
    </w:p>
    <w:p w14:paraId="327DD376" w14:textId="4382E2E3" w:rsidR="00D31F21" w:rsidRPr="0086035E" w:rsidRDefault="00D31F21" w:rsidP="00D31F21">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0A648C">
        <w:rPr>
          <w:rFonts w:ascii="Verdana" w:hAnsi="Verdana"/>
          <w:sz w:val="20"/>
          <w:szCs w:val="20"/>
        </w:rPr>
        <w:t>3</w:t>
      </w:r>
      <w:r w:rsidR="008B4CC9">
        <w:rPr>
          <w:rFonts w:ascii="Verdana" w:hAnsi="Verdana"/>
          <w:sz w:val="20"/>
          <w:szCs w:val="20"/>
        </w:rPr>
        <w:t>3</w:t>
      </w:r>
      <w:r w:rsidR="00CD417D">
        <w:rPr>
          <w:rFonts w:ascii="Verdana" w:hAnsi="Verdana"/>
          <w:sz w:val="20"/>
          <w:szCs w:val="20"/>
        </w:rPr>
        <w:t>5</w:t>
      </w:r>
      <w:r w:rsidRPr="0086035E">
        <w:rPr>
          <w:rFonts w:ascii="Verdana" w:hAnsi="Verdana"/>
          <w:sz w:val="20"/>
          <w:szCs w:val="20"/>
        </w:rPr>
        <w:t>.</w:t>
      </w:r>
    </w:p>
    <w:p w14:paraId="20261B7A" w14:textId="5F383CA9" w:rsidR="00D31F21" w:rsidRDefault="008B645C" w:rsidP="008B4CC9">
      <w:pPr>
        <w:jc w:val="both"/>
        <w:rPr>
          <w:rFonts w:ascii="Verdana" w:hAnsi="Verdana"/>
          <w:sz w:val="20"/>
          <w:szCs w:val="20"/>
        </w:rPr>
      </w:pPr>
      <w:r>
        <w:rPr>
          <w:rFonts w:ascii="Verdana" w:hAnsi="Verdana"/>
          <w:sz w:val="20"/>
          <w:szCs w:val="20"/>
        </w:rPr>
        <w:t>L</w:t>
      </w:r>
      <w:r w:rsidR="008B4CC9" w:rsidRPr="008B4CC9">
        <w:rPr>
          <w:rFonts w:ascii="Verdana" w:hAnsi="Verdana"/>
          <w:sz w:val="20"/>
          <w:szCs w:val="20"/>
        </w:rPr>
        <w:t>a aplicación de los requisitos de medición de la metodología estándar se debe complementar con pruebas de sensibilidad que atiendan las características de riesgo particulares de la entidad. Para esto es indispensable que la entidad considere la naturaleza de sus operaciones y las fuentes principales del RTILB de sus posiciones, el tiempo que necesitaría para tomar medidas que le permitan reducir o deshacer aquellas que resulten desfavorables, y su capacidad o disposición para soportar pérdidas contables con el fin de reposicionar su perfil de riesgo.</w:t>
      </w:r>
    </w:p>
    <w:p w14:paraId="70F8E757" w14:textId="323D4829" w:rsidR="00D31F21" w:rsidRPr="0086035E" w:rsidRDefault="00D31F21" w:rsidP="00D31F21">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0A648C">
        <w:rPr>
          <w:rFonts w:ascii="Verdana" w:hAnsi="Verdana"/>
          <w:sz w:val="20"/>
          <w:szCs w:val="20"/>
        </w:rPr>
        <w:t>3</w:t>
      </w:r>
      <w:r w:rsidR="008B4CC9">
        <w:rPr>
          <w:rFonts w:ascii="Verdana" w:hAnsi="Verdana"/>
          <w:sz w:val="20"/>
          <w:szCs w:val="20"/>
        </w:rPr>
        <w:t>3</w:t>
      </w:r>
      <w:r w:rsidR="00CD417D">
        <w:rPr>
          <w:rFonts w:ascii="Verdana" w:hAnsi="Verdana"/>
          <w:sz w:val="20"/>
          <w:szCs w:val="20"/>
        </w:rPr>
        <w:t>6</w:t>
      </w:r>
      <w:r w:rsidRPr="0086035E">
        <w:rPr>
          <w:rFonts w:ascii="Verdana" w:hAnsi="Verdana"/>
          <w:sz w:val="20"/>
          <w:szCs w:val="20"/>
        </w:rPr>
        <w:t>.</w:t>
      </w:r>
    </w:p>
    <w:p w14:paraId="2B58E641" w14:textId="1F3FBC43" w:rsidR="009024B2" w:rsidRPr="009852C8" w:rsidRDefault="00D3436C" w:rsidP="009024B2">
      <w:pPr>
        <w:jc w:val="both"/>
        <w:rPr>
          <w:rFonts w:ascii="Verdana" w:hAnsi="Verdana"/>
          <w:sz w:val="20"/>
          <w:szCs w:val="20"/>
        </w:rPr>
      </w:pPr>
      <w:r w:rsidRPr="00D3436C">
        <w:rPr>
          <w:rFonts w:ascii="Verdana" w:hAnsi="Verdana"/>
          <w:sz w:val="20"/>
          <w:szCs w:val="20"/>
        </w:rPr>
        <w:t>La entidad debe comprender plenamente las limitaciones de cada herramienta cuantitativa de gestión utilizada, y estas limitaciones deben tenerse en cuenta en el proceso de gestión del RTILB. Así mismo, al evaluar el RTILB, la entidad debe ser consciente de los riesgos que pueden surgir como consecuencia del tratamiento contable aprobado para las operaciones del libro bancario.</w:t>
      </w:r>
    </w:p>
    <w:p w14:paraId="0C862468" w14:textId="5A5A8EEF" w:rsidR="009024B2" w:rsidRPr="009852C8" w:rsidRDefault="002D49EF" w:rsidP="009024B2">
      <w:pPr>
        <w:pStyle w:val="Prrafodelista"/>
        <w:numPr>
          <w:ilvl w:val="0"/>
          <w:numId w:val="6"/>
        </w:numPr>
        <w:ind w:left="567" w:hanging="283"/>
        <w:jc w:val="both"/>
        <w:rPr>
          <w:rFonts w:ascii="Verdana" w:hAnsi="Verdana"/>
          <w:b/>
          <w:bCs/>
          <w:sz w:val="20"/>
          <w:szCs w:val="20"/>
        </w:rPr>
      </w:pPr>
      <w:r w:rsidRPr="002D49EF">
        <w:rPr>
          <w:rFonts w:ascii="Verdana" w:hAnsi="Verdana"/>
          <w:b/>
          <w:bCs/>
          <w:sz w:val="20"/>
          <w:szCs w:val="20"/>
        </w:rPr>
        <w:t>Requisitos de medición</w:t>
      </w:r>
    </w:p>
    <w:p w14:paraId="112F66A0" w14:textId="2BFA411B" w:rsidR="009024B2" w:rsidRPr="0086035E" w:rsidRDefault="009024B2" w:rsidP="009024B2">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F703AF">
        <w:rPr>
          <w:rFonts w:ascii="Verdana" w:hAnsi="Verdana"/>
          <w:sz w:val="20"/>
          <w:szCs w:val="20"/>
        </w:rPr>
        <w:t>33</w:t>
      </w:r>
      <w:r w:rsidR="00CD417D">
        <w:rPr>
          <w:rFonts w:ascii="Verdana" w:hAnsi="Verdana"/>
          <w:sz w:val="20"/>
          <w:szCs w:val="20"/>
        </w:rPr>
        <w:t>7</w:t>
      </w:r>
      <w:r w:rsidRPr="0086035E">
        <w:rPr>
          <w:rFonts w:ascii="Verdana" w:hAnsi="Verdana"/>
          <w:sz w:val="20"/>
          <w:szCs w:val="20"/>
        </w:rPr>
        <w:t>.</w:t>
      </w:r>
    </w:p>
    <w:p w14:paraId="2030E4BA" w14:textId="666C5B17" w:rsidR="00D31F21" w:rsidRPr="00007259" w:rsidRDefault="000E3B2A" w:rsidP="009024B2">
      <w:pPr>
        <w:jc w:val="both"/>
        <w:rPr>
          <w:rFonts w:ascii="Verdana" w:hAnsi="Verdana"/>
          <w:sz w:val="20"/>
          <w:szCs w:val="20"/>
        </w:rPr>
      </w:pPr>
      <w:r w:rsidRPr="000E3B2A">
        <w:rPr>
          <w:rFonts w:ascii="Verdana" w:hAnsi="Verdana"/>
          <w:sz w:val="20"/>
          <w:szCs w:val="20"/>
        </w:rPr>
        <w:t>La entidad debe medir el RTILB tanto a nivel individual como consolidado, considerando la complejidad y nivel de los riesgos involucrados en sus productos y operaciones.</w:t>
      </w:r>
    </w:p>
    <w:p w14:paraId="0EC3676D" w14:textId="3A92EE0C" w:rsidR="00D31F21" w:rsidRPr="0086035E" w:rsidRDefault="00D31F21" w:rsidP="00D31F21">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sidR="00F703AF">
        <w:rPr>
          <w:rFonts w:ascii="Verdana" w:hAnsi="Verdana"/>
          <w:sz w:val="20"/>
          <w:szCs w:val="20"/>
        </w:rPr>
        <w:t>33</w:t>
      </w:r>
      <w:r w:rsidR="00CD417D">
        <w:rPr>
          <w:rFonts w:ascii="Verdana" w:hAnsi="Verdana"/>
          <w:sz w:val="20"/>
          <w:szCs w:val="20"/>
        </w:rPr>
        <w:t>8</w:t>
      </w:r>
      <w:r w:rsidRPr="0086035E">
        <w:rPr>
          <w:rFonts w:ascii="Verdana" w:hAnsi="Verdana"/>
          <w:sz w:val="20"/>
          <w:szCs w:val="20"/>
        </w:rPr>
        <w:t>.</w:t>
      </w:r>
    </w:p>
    <w:p w14:paraId="308F06EF" w14:textId="1E87DFB5" w:rsidR="00110E25" w:rsidRPr="00007259" w:rsidRDefault="00F703AF" w:rsidP="00110E25">
      <w:pPr>
        <w:jc w:val="both"/>
        <w:rPr>
          <w:rFonts w:ascii="Verdana" w:hAnsi="Verdana"/>
          <w:sz w:val="20"/>
          <w:szCs w:val="20"/>
        </w:rPr>
      </w:pPr>
      <w:r w:rsidRPr="00F703AF">
        <w:rPr>
          <w:rFonts w:ascii="Verdana" w:hAnsi="Verdana"/>
          <w:sz w:val="20"/>
          <w:szCs w:val="20"/>
        </w:rPr>
        <w:t xml:space="preserve">De acuerdo con lo señalado </w:t>
      </w:r>
      <w:r w:rsidR="00E75A58">
        <w:rPr>
          <w:rFonts w:ascii="Verdana" w:hAnsi="Verdana"/>
          <w:sz w:val="20"/>
          <w:szCs w:val="20"/>
        </w:rPr>
        <w:t>entre los párrafos 1.1.2.317. y 1.1.2.320.</w:t>
      </w:r>
      <w:r w:rsidRPr="00F703AF">
        <w:rPr>
          <w:rFonts w:ascii="Verdana" w:hAnsi="Verdana"/>
          <w:sz w:val="20"/>
          <w:szCs w:val="20"/>
        </w:rPr>
        <w:t xml:space="preserve">, las entidades deben cumplir, como mínimo, con los requisitos de gestión del presente </w:t>
      </w:r>
      <w:r w:rsidR="00681775">
        <w:rPr>
          <w:rFonts w:ascii="Verdana" w:hAnsi="Verdana"/>
          <w:sz w:val="20"/>
          <w:szCs w:val="20"/>
        </w:rPr>
        <w:t>c</w:t>
      </w:r>
      <w:r w:rsidRPr="00F703AF">
        <w:rPr>
          <w:rFonts w:ascii="Verdana" w:hAnsi="Verdana"/>
          <w:sz w:val="20"/>
          <w:szCs w:val="20"/>
        </w:rPr>
        <w:t xml:space="preserve">apítulo y los criterios técnicos de estimación previstos en la metodología estándar establecida en el </w:t>
      </w:r>
      <w:r w:rsidR="00681775">
        <w:rPr>
          <w:rFonts w:ascii="Verdana" w:hAnsi="Verdana"/>
          <w:sz w:val="20"/>
          <w:szCs w:val="20"/>
        </w:rPr>
        <w:t>a</w:t>
      </w:r>
      <w:r w:rsidRPr="00F703AF">
        <w:rPr>
          <w:rFonts w:ascii="Verdana" w:hAnsi="Verdana"/>
          <w:sz w:val="20"/>
          <w:szCs w:val="20"/>
        </w:rPr>
        <w:t xml:space="preserve">nexo 15 del presente </w:t>
      </w:r>
      <w:r w:rsidR="00681775">
        <w:rPr>
          <w:rFonts w:ascii="Verdana" w:hAnsi="Verdana"/>
          <w:sz w:val="20"/>
          <w:szCs w:val="20"/>
        </w:rPr>
        <w:t>c</w:t>
      </w:r>
      <w:r w:rsidRPr="00F703AF">
        <w:rPr>
          <w:rFonts w:ascii="Verdana" w:hAnsi="Verdana"/>
          <w:sz w:val="20"/>
          <w:szCs w:val="20"/>
        </w:rPr>
        <w:t>apítulo, e integrar todos los componentes y subcomponentes de RTILB que afecten el modelo de negocio de la entidad. Así mismo, la entidad que cuente con modelos internos para calcular el impacto del RTILB en el MNI y el VEP podrá presentar tales modelos para no objeción de la SFC</w:t>
      </w:r>
      <w:r w:rsidR="00110E25" w:rsidRPr="000E3B2A">
        <w:rPr>
          <w:rFonts w:ascii="Verdana" w:hAnsi="Verdana"/>
          <w:sz w:val="20"/>
          <w:szCs w:val="20"/>
        </w:rPr>
        <w:t>.</w:t>
      </w:r>
    </w:p>
    <w:p w14:paraId="7A09D25E" w14:textId="236E759A" w:rsidR="00110E25" w:rsidRPr="0086035E" w:rsidRDefault="00110E25" w:rsidP="00110E25">
      <w:pPr>
        <w:spacing w:after="0"/>
        <w:jc w:val="both"/>
        <w:rPr>
          <w:rFonts w:ascii="Verdana" w:hAnsi="Verdana"/>
          <w:sz w:val="20"/>
          <w:szCs w:val="20"/>
        </w:rPr>
      </w:pPr>
      <w:r w:rsidRPr="0086035E">
        <w:rPr>
          <w:rFonts w:ascii="Verdana" w:hAnsi="Verdana"/>
          <w:sz w:val="20"/>
          <w:szCs w:val="20"/>
        </w:rPr>
        <w:lastRenderedPageBreak/>
        <w:t>1.1.</w:t>
      </w:r>
      <w:r>
        <w:rPr>
          <w:rFonts w:ascii="Verdana" w:hAnsi="Verdana"/>
          <w:sz w:val="20"/>
          <w:szCs w:val="20"/>
        </w:rPr>
        <w:t>2</w:t>
      </w:r>
      <w:r w:rsidRPr="0086035E">
        <w:rPr>
          <w:rFonts w:ascii="Verdana" w:hAnsi="Verdana"/>
          <w:sz w:val="20"/>
          <w:szCs w:val="20"/>
        </w:rPr>
        <w:t>.</w:t>
      </w:r>
      <w:r>
        <w:rPr>
          <w:rFonts w:ascii="Verdana" w:hAnsi="Verdana"/>
          <w:sz w:val="20"/>
          <w:szCs w:val="20"/>
        </w:rPr>
        <w:t>33</w:t>
      </w:r>
      <w:r w:rsidR="00CD417D">
        <w:rPr>
          <w:rFonts w:ascii="Verdana" w:hAnsi="Verdana"/>
          <w:sz w:val="20"/>
          <w:szCs w:val="20"/>
        </w:rPr>
        <w:t>9</w:t>
      </w:r>
      <w:r w:rsidRPr="0086035E">
        <w:rPr>
          <w:rFonts w:ascii="Verdana" w:hAnsi="Verdana"/>
          <w:sz w:val="20"/>
          <w:szCs w:val="20"/>
        </w:rPr>
        <w:t>.</w:t>
      </w:r>
    </w:p>
    <w:p w14:paraId="651100C0" w14:textId="60936B99" w:rsidR="00110E25" w:rsidRDefault="00423EDA" w:rsidP="00110E25">
      <w:pPr>
        <w:jc w:val="both"/>
        <w:rPr>
          <w:rFonts w:ascii="Verdana" w:hAnsi="Verdana"/>
          <w:b/>
          <w:bCs/>
          <w:sz w:val="20"/>
          <w:szCs w:val="20"/>
        </w:rPr>
      </w:pPr>
      <w:r w:rsidRPr="00423EDA">
        <w:rPr>
          <w:rFonts w:ascii="Verdana" w:hAnsi="Verdana"/>
          <w:sz w:val="20"/>
          <w:szCs w:val="20"/>
        </w:rPr>
        <w:t xml:space="preserve">La entidad debe tener en cuenta la naturaleza del MNI y del VEP en sus </w:t>
      </w:r>
      <w:r w:rsidR="00AA0D34">
        <w:rPr>
          <w:rFonts w:ascii="Verdana" w:hAnsi="Verdana"/>
          <w:sz w:val="20"/>
          <w:szCs w:val="20"/>
        </w:rPr>
        <w:t xml:space="preserve">procesos de </w:t>
      </w:r>
      <w:r w:rsidRPr="00423EDA">
        <w:rPr>
          <w:rFonts w:ascii="Verdana" w:hAnsi="Verdana"/>
          <w:sz w:val="20"/>
          <w:szCs w:val="20"/>
        </w:rPr>
        <w:t>evaluaci</w:t>
      </w:r>
      <w:r w:rsidR="00AA0D34">
        <w:rPr>
          <w:rFonts w:ascii="Verdana" w:hAnsi="Verdana"/>
          <w:sz w:val="20"/>
          <w:szCs w:val="20"/>
        </w:rPr>
        <w:t xml:space="preserve">ón </w:t>
      </w:r>
      <w:r w:rsidRPr="00423EDA">
        <w:rPr>
          <w:rFonts w:ascii="Verdana" w:hAnsi="Verdana"/>
          <w:sz w:val="20"/>
          <w:szCs w:val="20"/>
        </w:rPr>
        <w:t xml:space="preserve">de riesgo y </w:t>
      </w:r>
      <w:r w:rsidR="00AA0D34" w:rsidRPr="00AA0D34">
        <w:rPr>
          <w:rFonts w:ascii="Verdana" w:hAnsi="Verdana"/>
          <w:sz w:val="20"/>
          <w:szCs w:val="20"/>
        </w:rPr>
        <w:t xml:space="preserve">autoevaluación </w:t>
      </w:r>
      <w:r w:rsidRPr="00423EDA">
        <w:rPr>
          <w:rFonts w:ascii="Verdana" w:hAnsi="Verdana"/>
          <w:sz w:val="20"/>
          <w:szCs w:val="20"/>
        </w:rPr>
        <w:t>de capital, en particular en términos de:</w:t>
      </w:r>
    </w:p>
    <w:p w14:paraId="3A0DDC69" w14:textId="3C6D97E7" w:rsidR="00E30EBB" w:rsidRDefault="00D9010A" w:rsidP="00D9010A">
      <w:pPr>
        <w:pStyle w:val="Prrafodelista"/>
        <w:numPr>
          <w:ilvl w:val="0"/>
          <w:numId w:val="87"/>
        </w:numPr>
        <w:ind w:left="567" w:hanging="567"/>
        <w:jc w:val="both"/>
        <w:rPr>
          <w:rFonts w:ascii="Verdana" w:hAnsi="Verdana"/>
          <w:sz w:val="20"/>
          <w:szCs w:val="20"/>
        </w:rPr>
      </w:pPr>
      <w:r w:rsidRPr="00E30EBB">
        <w:rPr>
          <w:rFonts w:ascii="Verdana" w:hAnsi="Verdana"/>
          <w:sz w:val="20"/>
          <w:szCs w:val="20"/>
        </w:rPr>
        <w:t>Resultados</w:t>
      </w:r>
      <w:r w:rsidR="00422016">
        <w:rPr>
          <w:rFonts w:ascii="Verdana" w:hAnsi="Verdana"/>
          <w:sz w:val="20"/>
          <w:szCs w:val="20"/>
        </w:rPr>
        <w:t>.</w:t>
      </w:r>
      <w:r w:rsidRPr="00E30EBB">
        <w:rPr>
          <w:rFonts w:ascii="Verdana" w:hAnsi="Verdana"/>
          <w:sz w:val="20"/>
          <w:szCs w:val="20"/>
        </w:rPr>
        <w:t xml:space="preserve"> </w:t>
      </w:r>
      <w:r w:rsidR="00C03DFB">
        <w:rPr>
          <w:rFonts w:ascii="Verdana" w:hAnsi="Verdana"/>
          <w:sz w:val="20"/>
          <w:szCs w:val="20"/>
        </w:rPr>
        <w:t>l</w:t>
      </w:r>
      <w:r w:rsidRPr="00E30EBB">
        <w:rPr>
          <w:rFonts w:ascii="Verdana" w:hAnsi="Verdana"/>
          <w:sz w:val="20"/>
          <w:szCs w:val="20"/>
        </w:rPr>
        <w:t>as medidas del VEP calculan un cambio en el valor presente neto de los activos, pasivos y partidas fuera de balance de la entidad sujetos a escenarios de estrés y choques de tasas de interés específicos. Por su parte, las medidas basadas en ganancias se centran en cambios en la rentabilidad futura dentro de un tiempo determinado, horizonte que eventualmente afectará los niveles futuros de capital de la entidad.</w:t>
      </w:r>
    </w:p>
    <w:p w14:paraId="23969989" w14:textId="77777777" w:rsidR="00E30EBB" w:rsidRDefault="00E30EBB" w:rsidP="00E30EBB">
      <w:pPr>
        <w:pStyle w:val="Prrafodelista"/>
        <w:ind w:left="567"/>
        <w:jc w:val="both"/>
        <w:rPr>
          <w:rFonts w:ascii="Verdana" w:hAnsi="Verdana"/>
          <w:sz w:val="20"/>
          <w:szCs w:val="20"/>
        </w:rPr>
      </w:pPr>
    </w:p>
    <w:p w14:paraId="3C3435A5" w14:textId="29D28D9A" w:rsidR="00E30EBB" w:rsidRDefault="00D9010A" w:rsidP="00D9010A">
      <w:pPr>
        <w:pStyle w:val="Prrafodelista"/>
        <w:numPr>
          <w:ilvl w:val="0"/>
          <w:numId w:val="87"/>
        </w:numPr>
        <w:ind w:left="567" w:hanging="567"/>
        <w:jc w:val="both"/>
        <w:rPr>
          <w:rFonts w:ascii="Verdana" w:hAnsi="Verdana"/>
          <w:sz w:val="20"/>
          <w:szCs w:val="20"/>
        </w:rPr>
      </w:pPr>
      <w:r w:rsidRPr="00E30EBB">
        <w:rPr>
          <w:rFonts w:ascii="Verdana" w:hAnsi="Verdana"/>
          <w:sz w:val="20"/>
          <w:szCs w:val="20"/>
        </w:rPr>
        <w:t>Horizontes de evaluación</w:t>
      </w:r>
      <w:r w:rsidR="00422016">
        <w:rPr>
          <w:rFonts w:ascii="Verdana" w:hAnsi="Verdana"/>
          <w:sz w:val="20"/>
          <w:szCs w:val="20"/>
        </w:rPr>
        <w:t>.</w:t>
      </w:r>
      <w:r w:rsidRPr="00E30EBB">
        <w:rPr>
          <w:rFonts w:ascii="Verdana" w:hAnsi="Verdana"/>
          <w:sz w:val="20"/>
          <w:szCs w:val="20"/>
        </w:rPr>
        <w:t xml:space="preserve"> </w:t>
      </w:r>
      <w:r w:rsidR="00C03DFB">
        <w:rPr>
          <w:rFonts w:ascii="Verdana" w:hAnsi="Verdana"/>
          <w:sz w:val="20"/>
          <w:szCs w:val="20"/>
        </w:rPr>
        <w:t>l</w:t>
      </w:r>
      <w:r w:rsidRPr="00E30EBB">
        <w:rPr>
          <w:rFonts w:ascii="Verdana" w:hAnsi="Verdana"/>
          <w:sz w:val="20"/>
          <w:szCs w:val="20"/>
        </w:rPr>
        <w:t>as medidas del VEP reflejan cambios en el valor durante la vida restante de los activos, pasivos y partidas fuera de balance de la entidad, es decir, hasta que todas las posiciones se hayan liquidado. En contraste las medidas basadas en ganancias cubren sólo el horizonte de un año, por lo que no capturan los riesgos que impactan las cuentas de pérdidas y ganancias más allá del período de estimación.</w:t>
      </w:r>
    </w:p>
    <w:p w14:paraId="39FABFCD" w14:textId="77777777" w:rsidR="00E30EBB" w:rsidRPr="00E30EBB" w:rsidRDefault="00E30EBB" w:rsidP="00E30EBB">
      <w:pPr>
        <w:pStyle w:val="Prrafodelista"/>
        <w:rPr>
          <w:rFonts w:ascii="Verdana" w:hAnsi="Verdana"/>
          <w:sz w:val="20"/>
          <w:szCs w:val="20"/>
        </w:rPr>
      </w:pPr>
    </w:p>
    <w:p w14:paraId="35A78F64" w14:textId="25FD0CF6" w:rsidR="00D9010A" w:rsidRPr="00E30EBB" w:rsidRDefault="00D9010A" w:rsidP="00D9010A">
      <w:pPr>
        <w:pStyle w:val="Prrafodelista"/>
        <w:numPr>
          <w:ilvl w:val="0"/>
          <w:numId w:val="87"/>
        </w:numPr>
        <w:ind w:left="567" w:hanging="567"/>
        <w:jc w:val="both"/>
        <w:rPr>
          <w:rFonts w:ascii="Verdana" w:hAnsi="Verdana"/>
          <w:sz w:val="20"/>
          <w:szCs w:val="20"/>
        </w:rPr>
      </w:pPr>
      <w:r w:rsidRPr="00E30EBB">
        <w:rPr>
          <w:rFonts w:ascii="Verdana" w:hAnsi="Verdana"/>
          <w:sz w:val="20"/>
          <w:szCs w:val="20"/>
        </w:rPr>
        <w:t>Producción futura</w:t>
      </w:r>
      <w:r w:rsidR="00422016">
        <w:rPr>
          <w:rFonts w:ascii="Verdana" w:hAnsi="Verdana"/>
          <w:sz w:val="20"/>
          <w:szCs w:val="20"/>
        </w:rPr>
        <w:t>.</w:t>
      </w:r>
      <w:r w:rsidRPr="00E30EBB">
        <w:rPr>
          <w:rFonts w:ascii="Verdana" w:hAnsi="Verdana"/>
          <w:sz w:val="20"/>
          <w:szCs w:val="20"/>
        </w:rPr>
        <w:t xml:space="preserve"> </w:t>
      </w:r>
      <w:r w:rsidR="00C03DFB">
        <w:rPr>
          <w:rFonts w:ascii="Verdana" w:hAnsi="Verdana"/>
          <w:sz w:val="20"/>
          <w:szCs w:val="20"/>
        </w:rPr>
        <w:t>l</w:t>
      </w:r>
      <w:r w:rsidRPr="00E30EBB">
        <w:rPr>
          <w:rFonts w:ascii="Verdana" w:hAnsi="Verdana"/>
          <w:sz w:val="20"/>
          <w:szCs w:val="20"/>
        </w:rPr>
        <w:t xml:space="preserve">a entidad debe considerar la naturaleza, el tamaño, el negocio, la complejidad, el perfil de riesgo y el MAR en la gestión de este riesgo. Las medidas del VEP consideran el nuevo valor presente neto de los flujos de efectivo de los instrumentos en el balance y fuera del balance de la entidad, es decir, hasta el vencimiento de todas las posiciones (balance de liquidación). Las medidas del MNI deben considerar una perspectiva de balance constante, en línea con este supuesto es necesario reemplazar los flujos de efectivo que vencen o se revalúan por nuevos flujos con idénticas características en cuanto a tipo de producto, moneda, monto, tasa fija/variable y periodo de revisión). La hipótesis de balance constante no se aplica en el caso de los saldos inestables de los depósitos sin vencimiento (NMD no básicos, </w:t>
      </w:r>
      <w:r w:rsidRPr="00681775">
        <w:rPr>
          <w:rFonts w:ascii="Verdana" w:hAnsi="Verdana"/>
          <w:i/>
          <w:iCs/>
          <w:sz w:val="20"/>
          <w:szCs w:val="20"/>
        </w:rPr>
        <w:t>non-</w:t>
      </w:r>
      <w:proofErr w:type="spellStart"/>
      <w:r w:rsidRPr="00681775">
        <w:rPr>
          <w:rFonts w:ascii="Verdana" w:hAnsi="Verdana"/>
          <w:i/>
          <w:iCs/>
          <w:sz w:val="20"/>
          <w:szCs w:val="20"/>
        </w:rPr>
        <w:t>core</w:t>
      </w:r>
      <w:proofErr w:type="spellEnd"/>
      <w:r w:rsidRPr="00E30EBB">
        <w:rPr>
          <w:rFonts w:ascii="Verdana" w:hAnsi="Verdana"/>
          <w:sz w:val="20"/>
          <w:szCs w:val="20"/>
        </w:rPr>
        <w:t>), los cuales se consideran que pasan a refinanciarse con otras fuentes de financiación distintas de los depósitos a la vista y con tasas vigentes. Las dos medidas deberán considerar el escenario estresado de las tasas de interés establecid</w:t>
      </w:r>
      <w:r w:rsidR="00C7031E">
        <w:rPr>
          <w:rFonts w:ascii="Verdana" w:hAnsi="Verdana"/>
          <w:sz w:val="20"/>
          <w:szCs w:val="20"/>
        </w:rPr>
        <w:t xml:space="preserve">o entre los párrafos 1.1.A15.11. y 1.1.A15.34. de la </w:t>
      </w:r>
      <w:r w:rsidR="00F5486D">
        <w:rPr>
          <w:rFonts w:ascii="Verdana" w:hAnsi="Verdana"/>
          <w:sz w:val="20"/>
          <w:szCs w:val="20"/>
        </w:rPr>
        <w:t>CBF</w:t>
      </w:r>
      <w:r w:rsidRPr="00E30EBB">
        <w:rPr>
          <w:rFonts w:ascii="Verdana" w:hAnsi="Verdana"/>
          <w:sz w:val="20"/>
          <w:szCs w:val="20"/>
        </w:rPr>
        <w:t xml:space="preserve">. No </w:t>
      </w:r>
      <w:r w:rsidR="00622BBD" w:rsidRPr="00E30EBB">
        <w:rPr>
          <w:rFonts w:ascii="Verdana" w:hAnsi="Verdana"/>
          <w:sz w:val="20"/>
          <w:szCs w:val="20"/>
        </w:rPr>
        <w:t>obstante,</w:t>
      </w:r>
      <w:r w:rsidRPr="00E30EBB">
        <w:rPr>
          <w:rFonts w:ascii="Verdana" w:hAnsi="Verdana"/>
          <w:sz w:val="20"/>
          <w:szCs w:val="20"/>
        </w:rPr>
        <w:t xml:space="preserve"> la entidad que cuente con modelo interno no objetado podrá utilizar otras metodologías siempre que mediante dicha estructura de balance </w:t>
      </w:r>
      <w:r w:rsidR="004E37E7">
        <w:rPr>
          <w:rFonts w:ascii="Verdana" w:hAnsi="Verdana"/>
          <w:sz w:val="20"/>
          <w:szCs w:val="20"/>
        </w:rPr>
        <w:t xml:space="preserve">demuestre que </w:t>
      </w:r>
      <w:r w:rsidR="004E37E7" w:rsidRPr="00E30EBB">
        <w:rPr>
          <w:rFonts w:ascii="Verdana" w:hAnsi="Verdana"/>
          <w:sz w:val="20"/>
          <w:szCs w:val="20"/>
        </w:rPr>
        <w:t>efect</w:t>
      </w:r>
      <w:r w:rsidR="004E37E7">
        <w:rPr>
          <w:rFonts w:ascii="Verdana" w:hAnsi="Verdana"/>
          <w:sz w:val="20"/>
          <w:szCs w:val="20"/>
        </w:rPr>
        <w:t>úa</w:t>
      </w:r>
      <w:r w:rsidRPr="00E30EBB" w:rsidDel="004E37E7">
        <w:rPr>
          <w:rFonts w:ascii="Verdana" w:hAnsi="Verdana"/>
          <w:sz w:val="20"/>
          <w:szCs w:val="20"/>
        </w:rPr>
        <w:t xml:space="preserve"> </w:t>
      </w:r>
      <w:r w:rsidRPr="00E30EBB">
        <w:rPr>
          <w:rFonts w:ascii="Verdana" w:hAnsi="Verdana"/>
          <w:sz w:val="20"/>
          <w:szCs w:val="20"/>
        </w:rPr>
        <w:t>una adecuada medición de su RTILB y RSCLB.</w:t>
      </w:r>
    </w:p>
    <w:p w14:paraId="10AB5174" w14:textId="4698A7FC" w:rsidR="00E30EBB" w:rsidRPr="0086035E" w:rsidRDefault="00E30EBB" w:rsidP="00E30EBB">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40</w:t>
      </w:r>
      <w:r w:rsidRPr="0086035E">
        <w:rPr>
          <w:rFonts w:ascii="Verdana" w:hAnsi="Verdana"/>
          <w:sz w:val="20"/>
          <w:szCs w:val="20"/>
        </w:rPr>
        <w:t>.</w:t>
      </w:r>
    </w:p>
    <w:p w14:paraId="73891B67" w14:textId="3B2169F3" w:rsidR="00357675" w:rsidRPr="009852C8" w:rsidRDefault="00611285" w:rsidP="00357675">
      <w:pPr>
        <w:jc w:val="both"/>
        <w:rPr>
          <w:rFonts w:ascii="Verdana" w:hAnsi="Verdana"/>
          <w:sz w:val="20"/>
          <w:szCs w:val="20"/>
        </w:rPr>
      </w:pPr>
      <w:r w:rsidRPr="00611285">
        <w:rPr>
          <w:rFonts w:ascii="Verdana" w:hAnsi="Verdana"/>
          <w:sz w:val="20"/>
          <w:szCs w:val="20"/>
        </w:rPr>
        <w:t>Para</w:t>
      </w:r>
      <w:r w:rsidRPr="00611285" w:rsidDel="004E37E7">
        <w:rPr>
          <w:rFonts w:ascii="Verdana" w:hAnsi="Verdana"/>
          <w:sz w:val="20"/>
          <w:szCs w:val="20"/>
        </w:rPr>
        <w:t xml:space="preserve"> </w:t>
      </w:r>
      <w:r w:rsidRPr="00611285">
        <w:rPr>
          <w:rFonts w:ascii="Verdana" w:hAnsi="Verdana"/>
          <w:sz w:val="20"/>
          <w:szCs w:val="20"/>
        </w:rPr>
        <w:t xml:space="preserve">una adecuada estimación del RTILB, además de cumplir con las especificaciones de los componentes y los pasos aplicables </w:t>
      </w:r>
      <w:r w:rsidR="00E14D78">
        <w:rPr>
          <w:rFonts w:ascii="Verdana" w:hAnsi="Verdana"/>
          <w:sz w:val="20"/>
          <w:szCs w:val="20"/>
        </w:rPr>
        <w:t>para e</w:t>
      </w:r>
      <w:r w:rsidRPr="00611285">
        <w:rPr>
          <w:rFonts w:ascii="Verdana" w:hAnsi="Verdana"/>
          <w:sz w:val="20"/>
          <w:szCs w:val="20"/>
        </w:rPr>
        <w:t xml:space="preserve">l cálculo de las estimaciones numéricas del VEP y el MNI prescritas en la metodología estándar, </w:t>
      </w:r>
      <w:r w:rsidR="004E37E7">
        <w:rPr>
          <w:rFonts w:ascii="Verdana" w:hAnsi="Verdana"/>
          <w:sz w:val="20"/>
          <w:szCs w:val="20"/>
        </w:rPr>
        <w:t xml:space="preserve">la </w:t>
      </w:r>
      <w:r w:rsidRPr="00611285">
        <w:rPr>
          <w:rFonts w:ascii="Verdana" w:hAnsi="Verdana"/>
          <w:sz w:val="20"/>
          <w:szCs w:val="20"/>
        </w:rPr>
        <w:t>entidad debe establecer un proceso adecuado de asignación de los flujos contractuales. Esto último teniendo en cuenta sus condiciones específicas con respecto al comportamiento de las salidas, supuestos subyacentes a la distribución del flujo de efectivo de los depósitos sin vencimiento (NMD), depósitos a plazo sujetos al riesgo de amortización anticipada, así como, los préstamos y compromisos sujetos a riesgo de pago anticipado, los cuales deben basarse principalmente en estimaciones de la entidad, de manera que se apliquen en forma consistente a lo largo del tiempo</w:t>
      </w:r>
      <w:r w:rsidR="00357675" w:rsidRPr="00D3436C">
        <w:rPr>
          <w:rFonts w:ascii="Verdana" w:hAnsi="Verdana"/>
          <w:sz w:val="20"/>
          <w:szCs w:val="20"/>
        </w:rPr>
        <w:t>.</w:t>
      </w:r>
    </w:p>
    <w:p w14:paraId="6DED3ADF" w14:textId="5F2E7886" w:rsidR="00357675" w:rsidRPr="009852C8" w:rsidRDefault="00151D5F" w:rsidP="00357675">
      <w:pPr>
        <w:pStyle w:val="Prrafodelista"/>
        <w:numPr>
          <w:ilvl w:val="0"/>
          <w:numId w:val="6"/>
        </w:numPr>
        <w:ind w:left="567" w:hanging="283"/>
        <w:jc w:val="both"/>
        <w:rPr>
          <w:rFonts w:ascii="Verdana" w:hAnsi="Verdana"/>
          <w:b/>
          <w:bCs/>
          <w:sz w:val="20"/>
          <w:szCs w:val="20"/>
        </w:rPr>
      </w:pPr>
      <w:r w:rsidRPr="00151D5F">
        <w:rPr>
          <w:rFonts w:ascii="Verdana" w:hAnsi="Verdana"/>
          <w:b/>
          <w:bCs/>
          <w:sz w:val="20"/>
          <w:szCs w:val="20"/>
        </w:rPr>
        <w:t>Modelos internos presentados para no objeción de la SFC</w:t>
      </w:r>
    </w:p>
    <w:p w14:paraId="40F871FA" w14:textId="5C3C5203" w:rsidR="00357675" w:rsidRPr="0086035E" w:rsidRDefault="00357675" w:rsidP="00357675">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41</w:t>
      </w:r>
      <w:r w:rsidRPr="0086035E">
        <w:rPr>
          <w:rFonts w:ascii="Verdana" w:hAnsi="Verdana"/>
          <w:sz w:val="20"/>
          <w:szCs w:val="20"/>
        </w:rPr>
        <w:t>.</w:t>
      </w:r>
    </w:p>
    <w:p w14:paraId="4A8BD98A" w14:textId="6891FBD3" w:rsidR="00110E25" w:rsidRDefault="000734A7" w:rsidP="00357675">
      <w:pPr>
        <w:jc w:val="both"/>
        <w:rPr>
          <w:rFonts w:ascii="Verdana" w:hAnsi="Verdana"/>
          <w:sz w:val="20"/>
          <w:szCs w:val="20"/>
        </w:rPr>
      </w:pPr>
      <w:r>
        <w:rPr>
          <w:rFonts w:ascii="Verdana" w:hAnsi="Verdana"/>
          <w:sz w:val="20"/>
          <w:szCs w:val="20"/>
        </w:rPr>
        <w:t>Las entidades</w:t>
      </w:r>
      <w:r w:rsidRPr="000734A7">
        <w:rPr>
          <w:rFonts w:ascii="Verdana" w:hAnsi="Verdana"/>
          <w:sz w:val="20"/>
          <w:szCs w:val="20"/>
        </w:rPr>
        <w:t xml:space="preserve"> pueden desarrollar e implementar modelos internos para la medición del RTILB, incluido el RSCLB, los cuales deben contar con la aprobación previa de la JD. Estos modelos deben presentarse ante la SFC con el fin de obtener un pronunciamiento de no objeción, para lo cual deben demostrar que cumplen con los siguientes requisitos: </w:t>
      </w:r>
      <w:r w:rsidR="002405B4">
        <w:rPr>
          <w:rFonts w:ascii="Verdana" w:hAnsi="Verdana"/>
          <w:sz w:val="20"/>
          <w:szCs w:val="20"/>
        </w:rPr>
        <w:t>(</w:t>
      </w:r>
      <w:r w:rsidRPr="000734A7">
        <w:rPr>
          <w:rFonts w:ascii="Verdana" w:hAnsi="Verdana"/>
          <w:sz w:val="20"/>
          <w:szCs w:val="20"/>
        </w:rPr>
        <w:t xml:space="preserve">i) generalidades del Sistema Integral de Administración de Riesgos </w:t>
      </w:r>
      <w:r w:rsidR="0036140F">
        <w:rPr>
          <w:rFonts w:ascii="Verdana" w:hAnsi="Verdana"/>
          <w:sz w:val="20"/>
          <w:szCs w:val="20"/>
        </w:rPr>
        <w:t xml:space="preserve">(SIAR) </w:t>
      </w:r>
      <w:r w:rsidRPr="000734A7">
        <w:rPr>
          <w:rFonts w:ascii="Verdana" w:hAnsi="Verdana"/>
          <w:sz w:val="20"/>
          <w:szCs w:val="20"/>
        </w:rPr>
        <w:t xml:space="preserve">de la </w:t>
      </w:r>
      <w:r w:rsidR="0036140F">
        <w:rPr>
          <w:rFonts w:ascii="Verdana" w:hAnsi="Verdana"/>
          <w:sz w:val="20"/>
          <w:szCs w:val="20"/>
        </w:rPr>
        <w:t>sección</w:t>
      </w:r>
      <w:r w:rsidRPr="000734A7">
        <w:rPr>
          <w:rFonts w:ascii="Verdana" w:hAnsi="Verdana"/>
          <w:sz w:val="20"/>
          <w:szCs w:val="20"/>
        </w:rPr>
        <w:t xml:space="preserve"> </w:t>
      </w:r>
      <w:r w:rsidR="0036140F">
        <w:rPr>
          <w:rFonts w:ascii="Verdana" w:hAnsi="Verdana"/>
          <w:sz w:val="20"/>
          <w:szCs w:val="20"/>
        </w:rPr>
        <w:t xml:space="preserve">1 </w:t>
      </w:r>
      <w:r w:rsidRPr="000734A7">
        <w:rPr>
          <w:rFonts w:ascii="Verdana" w:hAnsi="Verdana"/>
          <w:sz w:val="20"/>
          <w:szCs w:val="20"/>
        </w:rPr>
        <w:t xml:space="preserve">y de gestión de la </w:t>
      </w:r>
      <w:r w:rsidR="0036140F">
        <w:rPr>
          <w:rFonts w:ascii="Verdana" w:hAnsi="Verdana"/>
          <w:sz w:val="20"/>
          <w:szCs w:val="20"/>
        </w:rPr>
        <w:t>sección 2</w:t>
      </w:r>
      <w:r w:rsidRPr="000734A7">
        <w:rPr>
          <w:rFonts w:ascii="Verdana" w:hAnsi="Verdana"/>
          <w:sz w:val="20"/>
          <w:szCs w:val="20"/>
        </w:rPr>
        <w:t xml:space="preserve"> del presente </w:t>
      </w:r>
      <w:r w:rsidR="0036140F">
        <w:rPr>
          <w:rFonts w:ascii="Verdana" w:hAnsi="Verdana"/>
          <w:sz w:val="20"/>
          <w:szCs w:val="20"/>
        </w:rPr>
        <w:t>c</w:t>
      </w:r>
      <w:r w:rsidRPr="000734A7">
        <w:rPr>
          <w:rFonts w:ascii="Verdana" w:hAnsi="Verdana"/>
          <w:sz w:val="20"/>
          <w:szCs w:val="20"/>
        </w:rPr>
        <w:t xml:space="preserve">apítulo, y </w:t>
      </w:r>
      <w:r w:rsidR="002405B4">
        <w:rPr>
          <w:rFonts w:ascii="Verdana" w:hAnsi="Verdana"/>
          <w:sz w:val="20"/>
          <w:szCs w:val="20"/>
        </w:rPr>
        <w:t>(</w:t>
      </w:r>
      <w:proofErr w:type="spellStart"/>
      <w:r w:rsidRPr="000734A7">
        <w:rPr>
          <w:rFonts w:ascii="Verdana" w:hAnsi="Verdana"/>
          <w:sz w:val="20"/>
          <w:szCs w:val="20"/>
        </w:rPr>
        <w:t>ii</w:t>
      </w:r>
      <w:proofErr w:type="spellEnd"/>
      <w:r w:rsidRPr="000734A7">
        <w:rPr>
          <w:rFonts w:ascii="Verdana" w:hAnsi="Verdana"/>
          <w:sz w:val="20"/>
          <w:szCs w:val="20"/>
        </w:rPr>
        <w:t xml:space="preserve">) de medición de modelos internos establecidos en la </w:t>
      </w:r>
      <w:r w:rsidR="0036140F">
        <w:rPr>
          <w:rFonts w:ascii="Verdana" w:hAnsi="Verdana"/>
          <w:sz w:val="20"/>
          <w:szCs w:val="20"/>
        </w:rPr>
        <w:t>sección 3</w:t>
      </w:r>
      <w:r w:rsidRPr="000734A7">
        <w:rPr>
          <w:rFonts w:ascii="Verdana" w:hAnsi="Verdana"/>
          <w:sz w:val="20"/>
          <w:szCs w:val="20"/>
        </w:rPr>
        <w:t xml:space="preserve"> del mismo </w:t>
      </w:r>
      <w:r w:rsidR="0036140F">
        <w:rPr>
          <w:rFonts w:ascii="Verdana" w:hAnsi="Verdana"/>
          <w:sz w:val="20"/>
          <w:szCs w:val="20"/>
        </w:rPr>
        <w:t>c</w:t>
      </w:r>
      <w:r w:rsidRPr="000734A7">
        <w:rPr>
          <w:rFonts w:ascii="Verdana" w:hAnsi="Verdana"/>
          <w:sz w:val="20"/>
          <w:szCs w:val="20"/>
        </w:rPr>
        <w:t>apítulo</w:t>
      </w:r>
      <w:r w:rsidR="00850D8C">
        <w:rPr>
          <w:rFonts w:ascii="Verdana" w:hAnsi="Verdana"/>
          <w:sz w:val="20"/>
          <w:szCs w:val="20"/>
        </w:rPr>
        <w:t>.</w:t>
      </w:r>
    </w:p>
    <w:p w14:paraId="1FDDFA5B" w14:textId="7D0660BC" w:rsidR="00850D8C" w:rsidRPr="0086035E" w:rsidRDefault="00850D8C" w:rsidP="00850D8C">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42</w:t>
      </w:r>
      <w:r w:rsidRPr="0086035E">
        <w:rPr>
          <w:rFonts w:ascii="Verdana" w:hAnsi="Verdana"/>
          <w:sz w:val="20"/>
          <w:szCs w:val="20"/>
        </w:rPr>
        <w:t>.</w:t>
      </w:r>
    </w:p>
    <w:p w14:paraId="4FF5B897" w14:textId="37AAB3F0" w:rsidR="008716D4" w:rsidRDefault="00736FF4" w:rsidP="00850D8C">
      <w:pPr>
        <w:jc w:val="both"/>
        <w:rPr>
          <w:rFonts w:ascii="Verdana" w:hAnsi="Verdana"/>
          <w:sz w:val="20"/>
          <w:szCs w:val="20"/>
        </w:rPr>
      </w:pPr>
      <w:r w:rsidRPr="00736FF4">
        <w:rPr>
          <w:rFonts w:ascii="Verdana" w:hAnsi="Verdana"/>
          <w:sz w:val="20"/>
          <w:szCs w:val="20"/>
        </w:rPr>
        <w:t>Las entidades que se encuentren aplicando la metodología estándar y decidan presentar modelos internos para no objeción por parte de la SFC, solamente podrán emplear dichos modelos para la estimación del RTILB a partir del mes siguiente de dicho pronunciamiento. Hasta tanto no cuenten con dicho pronunciamiento</w:t>
      </w:r>
      <w:r w:rsidR="004E37E7">
        <w:rPr>
          <w:rFonts w:ascii="Verdana" w:hAnsi="Verdana"/>
          <w:sz w:val="20"/>
          <w:szCs w:val="20"/>
        </w:rPr>
        <w:t xml:space="preserve"> </w:t>
      </w:r>
      <w:r w:rsidRPr="00736FF4">
        <w:rPr>
          <w:rFonts w:ascii="Verdana" w:hAnsi="Verdana"/>
          <w:sz w:val="20"/>
          <w:szCs w:val="20"/>
        </w:rPr>
        <w:t xml:space="preserve">deben continuar aplicando las instrucciones de la metodología estándar. </w:t>
      </w:r>
    </w:p>
    <w:p w14:paraId="3F30298B" w14:textId="77777777" w:rsidR="00736FF4" w:rsidRDefault="00736FF4" w:rsidP="00850D8C">
      <w:pPr>
        <w:jc w:val="both"/>
        <w:rPr>
          <w:rFonts w:ascii="Verdana" w:hAnsi="Verdana"/>
          <w:sz w:val="20"/>
          <w:szCs w:val="20"/>
        </w:rPr>
      </w:pPr>
    </w:p>
    <w:p w14:paraId="51BE803C" w14:textId="1141D934" w:rsidR="00850D8C" w:rsidRPr="0086035E" w:rsidRDefault="00850D8C" w:rsidP="00850D8C">
      <w:pPr>
        <w:spacing w:after="0"/>
        <w:jc w:val="both"/>
        <w:rPr>
          <w:rFonts w:ascii="Verdana" w:hAnsi="Verdana"/>
          <w:sz w:val="20"/>
          <w:szCs w:val="20"/>
        </w:rPr>
      </w:pPr>
      <w:r w:rsidRPr="0086035E">
        <w:rPr>
          <w:rFonts w:ascii="Verdana" w:hAnsi="Verdana"/>
          <w:sz w:val="20"/>
          <w:szCs w:val="20"/>
        </w:rPr>
        <w:lastRenderedPageBreak/>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43</w:t>
      </w:r>
      <w:r w:rsidRPr="0086035E">
        <w:rPr>
          <w:rFonts w:ascii="Verdana" w:hAnsi="Verdana"/>
          <w:sz w:val="20"/>
          <w:szCs w:val="20"/>
        </w:rPr>
        <w:t>.</w:t>
      </w:r>
    </w:p>
    <w:p w14:paraId="6D46D74C" w14:textId="612893F4" w:rsidR="00850D8C" w:rsidRDefault="00246504" w:rsidP="00850D8C">
      <w:pPr>
        <w:jc w:val="both"/>
        <w:rPr>
          <w:rFonts w:ascii="Verdana" w:hAnsi="Verdana"/>
          <w:sz w:val="20"/>
          <w:szCs w:val="20"/>
        </w:rPr>
      </w:pPr>
      <w:r w:rsidRPr="00246504">
        <w:rPr>
          <w:rFonts w:ascii="Verdana" w:hAnsi="Verdana"/>
          <w:sz w:val="20"/>
          <w:szCs w:val="20"/>
        </w:rPr>
        <w:t>Las entidades deben estar en capacidad de reportar la información que resulte de calcular la exposición al RTILB, según se señala en las proformas establecidas para el reporte de la información de: “Mapeo de los flujos en las bandas de tiempo para los instrumentos sensibles al RTILB” y  “Escenarios de choques de tasas de interés para el Valor Económico del Patrimonio (VEP) y el Margen Neto de Intereses (MNI)”, incluidos los reportes de las entidades que cuenten con modelos internos no objetados.</w:t>
      </w:r>
    </w:p>
    <w:p w14:paraId="43DD334E" w14:textId="5534C5DC" w:rsidR="00850D8C" w:rsidRPr="0086035E" w:rsidRDefault="00850D8C" w:rsidP="00850D8C">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44</w:t>
      </w:r>
      <w:r w:rsidRPr="0086035E">
        <w:rPr>
          <w:rFonts w:ascii="Verdana" w:hAnsi="Verdana"/>
          <w:sz w:val="20"/>
          <w:szCs w:val="20"/>
        </w:rPr>
        <w:t>.</w:t>
      </w:r>
    </w:p>
    <w:p w14:paraId="5E10C187" w14:textId="5AA3E581" w:rsidR="00850D8C" w:rsidRDefault="00FD2E97" w:rsidP="00850D8C">
      <w:pPr>
        <w:jc w:val="both"/>
        <w:rPr>
          <w:rFonts w:ascii="Verdana" w:hAnsi="Verdana"/>
          <w:sz w:val="20"/>
          <w:szCs w:val="20"/>
        </w:rPr>
      </w:pPr>
      <w:r w:rsidRPr="00FD2E97">
        <w:rPr>
          <w:rFonts w:ascii="Verdana" w:hAnsi="Verdana"/>
          <w:sz w:val="20"/>
          <w:szCs w:val="20"/>
        </w:rPr>
        <w:t>La prueba de valores atípicos de</w:t>
      </w:r>
      <w:r w:rsidR="005056AB">
        <w:rPr>
          <w:rFonts w:ascii="Verdana" w:hAnsi="Verdana"/>
          <w:sz w:val="20"/>
          <w:szCs w:val="20"/>
        </w:rPr>
        <w:t xml:space="preserve"> los párrafos </w:t>
      </w:r>
      <w:r w:rsidR="004973B7">
        <w:rPr>
          <w:rFonts w:ascii="Verdana" w:hAnsi="Verdana"/>
          <w:sz w:val="20"/>
          <w:szCs w:val="20"/>
        </w:rPr>
        <w:t xml:space="preserve">1.1.2.355. y 1.1.2.356. </w:t>
      </w:r>
      <w:r w:rsidRPr="00FD2E97">
        <w:rPr>
          <w:rFonts w:ascii="Verdana" w:hAnsi="Verdana"/>
          <w:sz w:val="20"/>
          <w:szCs w:val="20"/>
        </w:rPr>
        <w:t xml:space="preserve">debe integrarse completamente en el marco interno para la gestión del RTILB. De igual forma, todas las entidades de las que trata el </w:t>
      </w:r>
      <w:r w:rsidR="00331977">
        <w:rPr>
          <w:rFonts w:ascii="Verdana" w:hAnsi="Verdana"/>
          <w:sz w:val="20"/>
          <w:szCs w:val="20"/>
        </w:rPr>
        <w:t>párrafo 1.1.2.321.</w:t>
      </w:r>
      <w:r w:rsidRPr="00FD2E97">
        <w:rPr>
          <w:rFonts w:ascii="Verdana" w:hAnsi="Verdana"/>
          <w:sz w:val="20"/>
          <w:szCs w:val="20"/>
        </w:rPr>
        <w:t xml:space="preserve"> deben dar cumplimiento a las medidas exigidas en </w:t>
      </w:r>
      <w:r w:rsidR="000A30D3">
        <w:rPr>
          <w:rFonts w:ascii="Verdana" w:hAnsi="Verdana"/>
          <w:sz w:val="20"/>
          <w:szCs w:val="20"/>
        </w:rPr>
        <w:t>esta</w:t>
      </w:r>
      <w:r w:rsidR="00331977">
        <w:rPr>
          <w:rFonts w:ascii="Verdana" w:hAnsi="Verdana"/>
          <w:sz w:val="20"/>
          <w:szCs w:val="20"/>
        </w:rPr>
        <w:t xml:space="preserve"> instrucción</w:t>
      </w:r>
      <w:r w:rsidRPr="00FD2E97">
        <w:rPr>
          <w:rFonts w:ascii="Verdana" w:hAnsi="Verdana"/>
          <w:sz w:val="20"/>
          <w:szCs w:val="20"/>
        </w:rPr>
        <w:t>.</w:t>
      </w:r>
    </w:p>
    <w:p w14:paraId="7E9C0EFC" w14:textId="21CE00D2" w:rsidR="00FD2E97" w:rsidRPr="0086035E" w:rsidRDefault="00FD2E97" w:rsidP="00FD2E97">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34</w:t>
      </w:r>
      <w:r w:rsidR="00CD417D">
        <w:rPr>
          <w:rFonts w:ascii="Verdana" w:hAnsi="Verdana"/>
          <w:sz w:val="20"/>
          <w:szCs w:val="20"/>
        </w:rPr>
        <w:t>5</w:t>
      </w:r>
      <w:r w:rsidRPr="0086035E">
        <w:rPr>
          <w:rFonts w:ascii="Verdana" w:hAnsi="Verdana"/>
          <w:sz w:val="20"/>
          <w:szCs w:val="20"/>
        </w:rPr>
        <w:t>.</w:t>
      </w:r>
    </w:p>
    <w:p w14:paraId="10865BD9" w14:textId="61F16BDE" w:rsidR="00F9633B" w:rsidRPr="009852C8" w:rsidRDefault="00F9633B" w:rsidP="00F9633B">
      <w:pPr>
        <w:jc w:val="both"/>
        <w:rPr>
          <w:rFonts w:ascii="Verdana" w:hAnsi="Verdana"/>
          <w:sz w:val="20"/>
          <w:szCs w:val="20"/>
        </w:rPr>
      </w:pPr>
      <w:r w:rsidRPr="00F9633B">
        <w:rPr>
          <w:rFonts w:ascii="Verdana" w:hAnsi="Verdana"/>
          <w:sz w:val="20"/>
          <w:szCs w:val="20"/>
        </w:rPr>
        <w:t>Al medir la exposición al RTILB, la entidad no debe basarse únicamente en el cálculo y los resultados de las pruebas de valores atípicos, o cualquier prueba de valores atípicos adicional desarrollada por la SFC, sino que debe implementar medidas adicionales propias, por ejemplo</w:t>
      </w:r>
      <w:r w:rsidR="00CF382B" w:rsidRPr="00F9633B">
        <w:rPr>
          <w:rFonts w:ascii="Verdana" w:hAnsi="Verdana"/>
          <w:sz w:val="20"/>
          <w:szCs w:val="20"/>
        </w:rPr>
        <w:t>,</w:t>
      </w:r>
      <w:r w:rsidRPr="00F9633B">
        <w:rPr>
          <w:rFonts w:ascii="Verdana" w:hAnsi="Verdana"/>
          <w:sz w:val="20"/>
          <w:szCs w:val="20"/>
        </w:rPr>
        <w:t xml:space="preserve"> el RTILB en relación con el MNI, entre otros. </w:t>
      </w:r>
    </w:p>
    <w:p w14:paraId="0D7E55B3" w14:textId="4F086421" w:rsidR="00F9633B" w:rsidRPr="009852C8" w:rsidRDefault="00F9633B" w:rsidP="006404A8">
      <w:pPr>
        <w:pStyle w:val="Prrafodelista"/>
        <w:numPr>
          <w:ilvl w:val="1"/>
          <w:numId w:val="6"/>
        </w:numPr>
        <w:ind w:left="851" w:hanging="284"/>
        <w:jc w:val="both"/>
        <w:rPr>
          <w:rFonts w:ascii="Verdana" w:hAnsi="Verdana"/>
          <w:b/>
          <w:bCs/>
          <w:sz w:val="20"/>
          <w:szCs w:val="20"/>
        </w:rPr>
      </w:pPr>
      <w:r>
        <w:rPr>
          <w:rFonts w:ascii="Verdana" w:hAnsi="Verdana"/>
          <w:b/>
          <w:bCs/>
          <w:sz w:val="20"/>
          <w:szCs w:val="20"/>
        </w:rPr>
        <w:t>Requisitos para los m</w:t>
      </w:r>
      <w:r w:rsidRPr="00151D5F">
        <w:rPr>
          <w:rFonts w:ascii="Verdana" w:hAnsi="Verdana"/>
          <w:b/>
          <w:bCs/>
          <w:sz w:val="20"/>
          <w:szCs w:val="20"/>
        </w:rPr>
        <w:t xml:space="preserve">odelos internos </w:t>
      </w:r>
    </w:p>
    <w:p w14:paraId="42AA5A8A" w14:textId="2B49F960" w:rsidR="00F9633B" w:rsidRPr="0086035E" w:rsidRDefault="00F9633B" w:rsidP="00F9633B">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F61303">
        <w:rPr>
          <w:rFonts w:ascii="Verdana" w:hAnsi="Verdana"/>
          <w:sz w:val="20"/>
          <w:szCs w:val="20"/>
        </w:rPr>
        <w:t>4</w:t>
      </w:r>
      <w:r w:rsidR="00CD417D">
        <w:rPr>
          <w:rFonts w:ascii="Verdana" w:hAnsi="Verdana"/>
          <w:sz w:val="20"/>
          <w:szCs w:val="20"/>
        </w:rPr>
        <w:t>6</w:t>
      </w:r>
      <w:r w:rsidRPr="0086035E">
        <w:rPr>
          <w:rFonts w:ascii="Verdana" w:hAnsi="Verdana"/>
          <w:sz w:val="20"/>
          <w:szCs w:val="20"/>
        </w:rPr>
        <w:t>.</w:t>
      </w:r>
    </w:p>
    <w:p w14:paraId="5AD37E2B" w14:textId="5EFFE66A" w:rsidR="00FD2E97" w:rsidRDefault="00696A03">
      <w:pPr>
        <w:spacing w:after="0"/>
        <w:jc w:val="both"/>
        <w:rPr>
          <w:rFonts w:ascii="Verdana" w:hAnsi="Verdana"/>
          <w:sz w:val="20"/>
          <w:szCs w:val="20"/>
        </w:rPr>
      </w:pPr>
      <w:r w:rsidRPr="00696A03">
        <w:rPr>
          <w:rFonts w:ascii="Verdana" w:hAnsi="Verdana"/>
          <w:sz w:val="20"/>
          <w:szCs w:val="20"/>
        </w:rPr>
        <w:t xml:space="preserve">Además de lo señalado en </w:t>
      </w:r>
      <w:r w:rsidR="00DA1EA1">
        <w:rPr>
          <w:rFonts w:ascii="Verdana" w:hAnsi="Verdana"/>
          <w:sz w:val="20"/>
          <w:szCs w:val="20"/>
        </w:rPr>
        <w:t>los</w:t>
      </w:r>
      <w:r w:rsidRPr="00696A03">
        <w:rPr>
          <w:rFonts w:ascii="Verdana" w:hAnsi="Verdana"/>
          <w:sz w:val="20"/>
          <w:szCs w:val="20"/>
        </w:rPr>
        <w:t xml:space="preserve"> </w:t>
      </w:r>
      <w:r w:rsidR="00187CDC">
        <w:rPr>
          <w:rFonts w:ascii="Verdana" w:hAnsi="Verdana"/>
          <w:sz w:val="20"/>
          <w:szCs w:val="20"/>
        </w:rPr>
        <w:t>párrafo</w:t>
      </w:r>
      <w:r w:rsidR="00DA1EA1">
        <w:rPr>
          <w:rFonts w:ascii="Verdana" w:hAnsi="Verdana"/>
          <w:sz w:val="20"/>
          <w:szCs w:val="20"/>
        </w:rPr>
        <w:t>s</w:t>
      </w:r>
      <w:r w:rsidR="00187CDC">
        <w:rPr>
          <w:rFonts w:ascii="Verdana" w:hAnsi="Verdana"/>
          <w:sz w:val="20"/>
          <w:szCs w:val="20"/>
        </w:rPr>
        <w:t xml:space="preserve"> </w:t>
      </w:r>
      <w:r w:rsidR="00187CDC" w:rsidRPr="0086035E">
        <w:rPr>
          <w:rFonts w:ascii="Verdana" w:hAnsi="Verdana"/>
          <w:sz w:val="20"/>
          <w:szCs w:val="20"/>
        </w:rPr>
        <w:t>1.1.</w:t>
      </w:r>
      <w:r w:rsidR="00187CDC">
        <w:rPr>
          <w:rFonts w:ascii="Verdana" w:hAnsi="Verdana"/>
          <w:sz w:val="20"/>
          <w:szCs w:val="20"/>
        </w:rPr>
        <w:t>2</w:t>
      </w:r>
      <w:r w:rsidR="00187CDC" w:rsidRPr="0086035E">
        <w:rPr>
          <w:rFonts w:ascii="Verdana" w:hAnsi="Verdana"/>
          <w:sz w:val="20"/>
          <w:szCs w:val="20"/>
        </w:rPr>
        <w:t>.</w:t>
      </w:r>
      <w:r w:rsidR="00187CDC">
        <w:rPr>
          <w:rFonts w:ascii="Verdana" w:hAnsi="Verdana"/>
          <w:sz w:val="20"/>
          <w:szCs w:val="20"/>
        </w:rPr>
        <w:t>341</w:t>
      </w:r>
      <w:r w:rsidR="00A05633">
        <w:rPr>
          <w:rFonts w:ascii="Verdana" w:hAnsi="Verdana"/>
          <w:sz w:val="20"/>
          <w:szCs w:val="20"/>
        </w:rPr>
        <w:t xml:space="preserve"> y siguientes,</w:t>
      </w:r>
      <w:r w:rsidRPr="00696A03">
        <w:rPr>
          <w:rFonts w:ascii="Verdana" w:hAnsi="Verdana"/>
          <w:sz w:val="20"/>
          <w:szCs w:val="20"/>
        </w:rPr>
        <w:t xml:space="preserve"> las entidades deben:</w:t>
      </w:r>
    </w:p>
    <w:p w14:paraId="460E67CC" w14:textId="77777777" w:rsidR="008716D4" w:rsidRPr="00554F01" w:rsidRDefault="008716D4" w:rsidP="00554F01">
      <w:pPr>
        <w:spacing w:after="0"/>
        <w:jc w:val="both"/>
        <w:rPr>
          <w:rFonts w:ascii="Verdana" w:hAnsi="Verdana"/>
          <w:sz w:val="20"/>
          <w:szCs w:val="20"/>
        </w:rPr>
      </w:pPr>
    </w:p>
    <w:p w14:paraId="0ED93A4E" w14:textId="18C508BC" w:rsidR="009E1129" w:rsidRDefault="00353C2A" w:rsidP="009E1129">
      <w:pPr>
        <w:pStyle w:val="Prrafodelista"/>
        <w:numPr>
          <w:ilvl w:val="0"/>
          <w:numId w:val="88"/>
        </w:numPr>
        <w:ind w:left="567" w:hanging="567"/>
        <w:jc w:val="both"/>
        <w:rPr>
          <w:rFonts w:ascii="Verdana" w:hAnsi="Verdana"/>
          <w:sz w:val="20"/>
          <w:szCs w:val="20"/>
        </w:rPr>
      </w:pPr>
      <w:r w:rsidRPr="00353C2A">
        <w:rPr>
          <w:rFonts w:ascii="Verdana" w:hAnsi="Verdana"/>
          <w:sz w:val="20"/>
          <w:szCs w:val="20"/>
        </w:rPr>
        <w:t>Llevar a cabo mediciones periódicas de RTILB que sirvan de base para su gestión, así como para la preparación y reporte de la información de las proformas señaladas en est</w:t>
      </w:r>
      <w:r w:rsidR="004A5AB6">
        <w:rPr>
          <w:rFonts w:ascii="Verdana" w:hAnsi="Verdana"/>
          <w:sz w:val="20"/>
          <w:szCs w:val="20"/>
        </w:rPr>
        <w:t>a sección</w:t>
      </w:r>
      <w:r w:rsidRPr="00B215CD">
        <w:rPr>
          <w:rFonts w:ascii="Verdana" w:hAnsi="Verdana"/>
          <w:sz w:val="20"/>
          <w:szCs w:val="20"/>
        </w:rPr>
        <w:t>,</w:t>
      </w:r>
      <w:r w:rsidRPr="00353C2A">
        <w:rPr>
          <w:rFonts w:ascii="Verdana" w:hAnsi="Verdana"/>
          <w:sz w:val="20"/>
          <w:szCs w:val="20"/>
        </w:rPr>
        <w:t xml:space="preserve"> con las siguientes reglas:</w:t>
      </w:r>
    </w:p>
    <w:p w14:paraId="256B83F1" w14:textId="77777777" w:rsidR="009E1129" w:rsidRDefault="009E1129" w:rsidP="009E1129">
      <w:pPr>
        <w:pStyle w:val="Prrafodelista"/>
        <w:ind w:left="1134"/>
        <w:jc w:val="both"/>
        <w:rPr>
          <w:rFonts w:ascii="Verdana" w:hAnsi="Verdana"/>
          <w:sz w:val="20"/>
          <w:szCs w:val="20"/>
        </w:rPr>
      </w:pPr>
    </w:p>
    <w:p w14:paraId="3556FF04" w14:textId="77777777" w:rsidR="009E1129" w:rsidRDefault="009E1129" w:rsidP="009E1129">
      <w:pPr>
        <w:pStyle w:val="Prrafodelista"/>
        <w:numPr>
          <w:ilvl w:val="0"/>
          <w:numId w:val="89"/>
        </w:numPr>
        <w:ind w:left="1134" w:hanging="567"/>
        <w:jc w:val="both"/>
        <w:rPr>
          <w:rFonts w:ascii="Verdana" w:hAnsi="Verdana"/>
          <w:sz w:val="20"/>
          <w:szCs w:val="20"/>
        </w:rPr>
      </w:pPr>
      <w:r w:rsidRPr="009E1129">
        <w:rPr>
          <w:rFonts w:ascii="Verdana" w:hAnsi="Verdana"/>
          <w:sz w:val="20"/>
          <w:szCs w:val="20"/>
        </w:rPr>
        <w:t>Efectuar el cálculo del impacto potencial del RTILB y el RSCLB sobre el MNI y sobre el VEP, para las posiciones sensibles a estos riesgos, a un año y en el largo plazo, respectivamente. Dicha medición debe tener en cuenta tanto el efecto de las opciones de tasa interés automáticas como de comportamiento.</w:t>
      </w:r>
    </w:p>
    <w:p w14:paraId="467C3C83" w14:textId="77777777" w:rsidR="009E1129" w:rsidRDefault="009E1129" w:rsidP="009E1129">
      <w:pPr>
        <w:pStyle w:val="Prrafodelista"/>
        <w:ind w:left="1134"/>
        <w:jc w:val="both"/>
        <w:rPr>
          <w:rFonts w:ascii="Verdana" w:hAnsi="Verdana"/>
          <w:sz w:val="20"/>
          <w:szCs w:val="20"/>
        </w:rPr>
      </w:pPr>
    </w:p>
    <w:p w14:paraId="0F554179" w14:textId="77777777" w:rsidR="009E1129" w:rsidRDefault="009E1129" w:rsidP="009E1129">
      <w:pPr>
        <w:pStyle w:val="Prrafodelista"/>
        <w:numPr>
          <w:ilvl w:val="0"/>
          <w:numId w:val="89"/>
        </w:numPr>
        <w:ind w:left="1134" w:hanging="567"/>
        <w:jc w:val="both"/>
        <w:rPr>
          <w:rFonts w:ascii="Verdana" w:hAnsi="Verdana"/>
          <w:sz w:val="20"/>
          <w:szCs w:val="20"/>
        </w:rPr>
      </w:pPr>
      <w:r w:rsidRPr="009E1129">
        <w:rPr>
          <w:rFonts w:ascii="Verdana" w:hAnsi="Verdana"/>
          <w:sz w:val="20"/>
          <w:szCs w:val="20"/>
        </w:rPr>
        <w:t xml:space="preserve">Considerar todas las posiciones sensibles a las tasas de interés, incluyendo los derivados de tasa de interés, tanto implícitos como explícitos, y excluyendo las posiciones que formen parte de la cartera del libro de tesorería. Se deben incluir también las posiciones por coberturas internas efectuadas para la gestión del RTILB, así como las exposiciones dudosas que se deben considerar netas de la cobertura de provisiones por pérdida esperada. Además, se debe excluir el patrimonio del cálculo del valor de las exposiciones. </w:t>
      </w:r>
    </w:p>
    <w:p w14:paraId="54BD6E3C" w14:textId="77777777" w:rsidR="009E1129" w:rsidRPr="009E1129" w:rsidRDefault="009E1129" w:rsidP="009E1129">
      <w:pPr>
        <w:pStyle w:val="Prrafodelista"/>
        <w:rPr>
          <w:rFonts w:ascii="Verdana" w:hAnsi="Verdana"/>
          <w:sz w:val="20"/>
          <w:szCs w:val="20"/>
        </w:rPr>
      </w:pPr>
    </w:p>
    <w:p w14:paraId="0E70F419" w14:textId="77777777" w:rsidR="00B11813" w:rsidRDefault="009E1129" w:rsidP="009E1129">
      <w:pPr>
        <w:pStyle w:val="Prrafodelista"/>
        <w:numPr>
          <w:ilvl w:val="0"/>
          <w:numId w:val="89"/>
        </w:numPr>
        <w:ind w:left="1134" w:hanging="567"/>
        <w:jc w:val="both"/>
        <w:rPr>
          <w:rFonts w:ascii="Verdana" w:hAnsi="Verdana"/>
          <w:sz w:val="20"/>
          <w:szCs w:val="20"/>
        </w:rPr>
      </w:pPr>
      <w:r w:rsidRPr="009E1129">
        <w:rPr>
          <w:rFonts w:ascii="Verdana" w:hAnsi="Verdana"/>
          <w:sz w:val="20"/>
          <w:szCs w:val="20"/>
        </w:rPr>
        <w:t>Aplicar la hipótesis de balance constante para el cálculo del MNI y balance de liquidación para el cálculo del VEP; no obstante, la entidad podrá presentar otra metodología siempre que garantice la adecuada medición de este riesgo. Cabe aclarar que para la medición del MNI cuando la entidad utilice una metodología que no corresponda a una estructura de balance constante, dicha metodología únicamente podrá reflejar los planes de negocio.</w:t>
      </w:r>
    </w:p>
    <w:p w14:paraId="1E5127F2" w14:textId="77777777" w:rsidR="00B11813" w:rsidRPr="00B11813" w:rsidRDefault="00B11813" w:rsidP="00B11813">
      <w:pPr>
        <w:pStyle w:val="Prrafodelista"/>
        <w:rPr>
          <w:rFonts w:ascii="Verdana" w:hAnsi="Verdana"/>
          <w:sz w:val="20"/>
          <w:szCs w:val="20"/>
        </w:rPr>
      </w:pPr>
    </w:p>
    <w:p w14:paraId="5A0E5F13" w14:textId="77777777" w:rsidR="00B11813" w:rsidRDefault="009E1129" w:rsidP="009E1129">
      <w:pPr>
        <w:pStyle w:val="Prrafodelista"/>
        <w:numPr>
          <w:ilvl w:val="0"/>
          <w:numId w:val="89"/>
        </w:numPr>
        <w:ind w:left="1134" w:hanging="567"/>
        <w:jc w:val="both"/>
        <w:rPr>
          <w:rFonts w:ascii="Verdana" w:hAnsi="Verdana"/>
          <w:sz w:val="20"/>
          <w:szCs w:val="20"/>
        </w:rPr>
      </w:pPr>
      <w:r w:rsidRPr="00B11813">
        <w:rPr>
          <w:rFonts w:ascii="Verdana" w:hAnsi="Verdana"/>
          <w:sz w:val="20"/>
          <w:szCs w:val="20"/>
        </w:rPr>
        <w:t xml:space="preserve">Efectuar mediciones separadas del riesgo de tasa de interés para cada una de las monedas sobre las que existan posiciones significativas, sensibles a las tasas de interés, así como mediciones agregadas del riesgo de tasa de interés de todas ellas. La entidad deberá documentar el criterio de significancia de monedas, por ejemplo, considerando el límite de este concepto establecido en la metodología estándar. Las entidades con exposiciones en múltiples monedas y con la capacidad técnica y sofisticación necesarias, pueden optar por incluir en su modelo interno métodos cuantitativos para agregar su RTILB en las diferentes monedas, utilizando supuestos técnicos sobre la correlación entre las tasas de interés y entre tales monedas. </w:t>
      </w:r>
    </w:p>
    <w:p w14:paraId="74623789" w14:textId="77777777" w:rsidR="00B11813" w:rsidRPr="00B11813" w:rsidRDefault="00B11813" w:rsidP="00B11813">
      <w:pPr>
        <w:pStyle w:val="Prrafodelista"/>
        <w:rPr>
          <w:rFonts w:ascii="Verdana" w:hAnsi="Verdana"/>
          <w:sz w:val="20"/>
          <w:szCs w:val="20"/>
        </w:rPr>
      </w:pPr>
    </w:p>
    <w:p w14:paraId="7D16E0B1" w14:textId="3BF82D00" w:rsidR="00B11813" w:rsidRDefault="009E1129" w:rsidP="009E1129">
      <w:pPr>
        <w:pStyle w:val="Prrafodelista"/>
        <w:numPr>
          <w:ilvl w:val="0"/>
          <w:numId w:val="89"/>
        </w:numPr>
        <w:ind w:left="1134" w:hanging="567"/>
        <w:jc w:val="both"/>
        <w:rPr>
          <w:rFonts w:ascii="Verdana" w:hAnsi="Verdana"/>
          <w:sz w:val="20"/>
          <w:szCs w:val="20"/>
        </w:rPr>
      </w:pPr>
      <w:r w:rsidRPr="00B11813">
        <w:rPr>
          <w:rFonts w:ascii="Verdana" w:hAnsi="Verdana"/>
          <w:sz w:val="20"/>
          <w:szCs w:val="20"/>
        </w:rPr>
        <w:t>Comparar el impacto potencial del RTILB sobre el VEP calculado, según lo establecido en los requisitos de</w:t>
      </w:r>
      <w:r w:rsidR="000E5BFA">
        <w:rPr>
          <w:rFonts w:ascii="Verdana" w:hAnsi="Verdana"/>
          <w:sz w:val="20"/>
          <w:szCs w:val="20"/>
        </w:rPr>
        <w:t xml:space="preserve"> </w:t>
      </w:r>
      <w:r w:rsidRPr="00B11813">
        <w:rPr>
          <w:rFonts w:ascii="Verdana" w:hAnsi="Verdana"/>
          <w:sz w:val="20"/>
          <w:szCs w:val="20"/>
        </w:rPr>
        <w:t>l</w:t>
      </w:r>
      <w:r w:rsidR="000E5BFA">
        <w:rPr>
          <w:rFonts w:ascii="Verdana" w:hAnsi="Verdana"/>
          <w:sz w:val="20"/>
          <w:szCs w:val="20"/>
        </w:rPr>
        <w:t>a</w:t>
      </w:r>
      <w:r w:rsidRPr="00B11813">
        <w:rPr>
          <w:rFonts w:ascii="Verdana" w:hAnsi="Verdana"/>
          <w:sz w:val="20"/>
          <w:szCs w:val="20"/>
        </w:rPr>
        <w:t xml:space="preserve"> presente </w:t>
      </w:r>
      <w:r w:rsidR="000E5BFA">
        <w:rPr>
          <w:rFonts w:ascii="Verdana" w:hAnsi="Verdana"/>
          <w:sz w:val="20"/>
          <w:szCs w:val="20"/>
        </w:rPr>
        <w:t>sección</w:t>
      </w:r>
      <w:r w:rsidR="005C7322" w:rsidRPr="00B11813">
        <w:rPr>
          <w:rFonts w:ascii="Verdana" w:hAnsi="Verdana"/>
          <w:sz w:val="20"/>
          <w:szCs w:val="20"/>
        </w:rPr>
        <w:t xml:space="preserve"> </w:t>
      </w:r>
      <w:r w:rsidRPr="00B11813">
        <w:rPr>
          <w:rFonts w:ascii="Verdana" w:hAnsi="Verdana"/>
          <w:sz w:val="20"/>
          <w:szCs w:val="20"/>
        </w:rPr>
        <w:t>con el valor económico del patrimonio y con los recursos de capital regulatorio.</w:t>
      </w:r>
    </w:p>
    <w:p w14:paraId="71B6D2A5" w14:textId="77777777" w:rsidR="00B11813" w:rsidRPr="00B11813" w:rsidRDefault="00B11813" w:rsidP="00B11813">
      <w:pPr>
        <w:pStyle w:val="Prrafodelista"/>
        <w:rPr>
          <w:rFonts w:ascii="Verdana" w:hAnsi="Verdana"/>
          <w:sz w:val="20"/>
          <w:szCs w:val="20"/>
        </w:rPr>
      </w:pPr>
    </w:p>
    <w:p w14:paraId="65E15BF2" w14:textId="2D34C145" w:rsidR="009E1129" w:rsidRDefault="009E1129" w:rsidP="00D31F21">
      <w:pPr>
        <w:pStyle w:val="Prrafodelista"/>
        <w:numPr>
          <w:ilvl w:val="0"/>
          <w:numId w:val="89"/>
        </w:numPr>
        <w:ind w:left="1134" w:hanging="567"/>
        <w:jc w:val="both"/>
        <w:rPr>
          <w:rFonts w:ascii="Verdana" w:hAnsi="Verdana"/>
          <w:sz w:val="20"/>
          <w:szCs w:val="20"/>
        </w:rPr>
      </w:pPr>
      <w:r w:rsidRPr="00B11813">
        <w:rPr>
          <w:rFonts w:ascii="Verdana" w:hAnsi="Verdana"/>
          <w:sz w:val="20"/>
          <w:szCs w:val="20"/>
        </w:rPr>
        <w:lastRenderedPageBreak/>
        <w:t>Comparar el impacto potencial del RTILB sobre el MNI sensible a un año con el margen de intermediación sensible a las tasas de interés previstas en dicho horizonte de tiempo bajo el escenario base de cumplimiento de la curva implícita de tasas de interés.</w:t>
      </w:r>
    </w:p>
    <w:p w14:paraId="4AF90067" w14:textId="132B8251" w:rsidR="00EB7B0D" w:rsidRDefault="00EB7B0D" w:rsidP="00EB7B0D">
      <w:pPr>
        <w:pStyle w:val="Prrafodelista"/>
        <w:ind w:left="567"/>
        <w:jc w:val="both"/>
        <w:rPr>
          <w:rFonts w:ascii="Verdana" w:hAnsi="Verdana"/>
          <w:sz w:val="20"/>
          <w:szCs w:val="20"/>
        </w:rPr>
      </w:pPr>
    </w:p>
    <w:p w14:paraId="6BF9B36A" w14:textId="77777777" w:rsidR="000B6F7E" w:rsidRDefault="00EB7B0D" w:rsidP="000B6F7E">
      <w:pPr>
        <w:pStyle w:val="Prrafodelista"/>
        <w:numPr>
          <w:ilvl w:val="0"/>
          <w:numId w:val="88"/>
        </w:numPr>
        <w:ind w:left="567" w:hanging="567"/>
        <w:jc w:val="both"/>
        <w:rPr>
          <w:rFonts w:ascii="Verdana" w:hAnsi="Verdana"/>
          <w:sz w:val="20"/>
          <w:szCs w:val="20"/>
        </w:rPr>
      </w:pPr>
      <w:r w:rsidRPr="00EB7B0D">
        <w:rPr>
          <w:rFonts w:ascii="Verdana" w:hAnsi="Verdana"/>
          <w:sz w:val="20"/>
          <w:szCs w:val="20"/>
        </w:rPr>
        <w:t>Incluir en el marco de supervisión del modelo como mínimo los siguientes elementos centrales:</w:t>
      </w:r>
    </w:p>
    <w:p w14:paraId="37C464AB" w14:textId="395E1163" w:rsidR="0009774B" w:rsidRDefault="0009774B" w:rsidP="00CB1094">
      <w:pPr>
        <w:pStyle w:val="Prrafodelista"/>
        <w:jc w:val="both"/>
        <w:rPr>
          <w:rFonts w:ascii="Verdana" w:hAnsi="Verdana"/>
          <w:sz w:val="20"/>
          <w:szCs w:val="20"/>
        </w:rPr>
      </w:pPr>
    </w:p>
    <w:p w14:paraId="7C4D2E36" w14:textId="068A307F" w:rsidR="00E335B2" w:rsidRDefault="0009774B" w:rsidP="00E335B2">
      <w:pPr>
        <w:pStyle w:val="Prrafodelista"/>
        <w:numPr>
          <w:ilvl w:val="0"/>
          <w:numId w:val="90"/>
        </w:numPr>
        <w:ind w:left="1134" w:hanging="567"/>
        <w:jc w:val="both"/>
        <w:rPr>
          <w:rFonts w:ascii="Verdana" w:hAnsi="Verdana"/>
          <w:sz w:val="20"/>
          <w:szCs w:val="20"/>
        </w:rPr>
      </w:pPr>
      <w:r w:rsidRPr="0009774B">
        <w:rPr>
          <w:rFonts w:ascii="Verdana" w:hAnsi="Verdana"/>
          <w:sz w:val="20"/>
          <w:szCs w:val="20"/>
        </w:rPr>
        <w:t>Una evaluación de la solidez conceptual/metodológica, incluida la evidencia de desarrollo del modelo</w:t>
      </w:r>
      <w:r w:rsidR="00E335B2">
        <w:rPr>
          <w:rFonts w:ascii="Verdana" w:hAnsi="Verdana"/>
          <w:sz w:val="20"/>
          <w:szCs w:val="20"/>
        </w:rPr>
        <w:t>.</w:t>
      </w:r>
    </w:p>
    <w:p w14:paraId="75DDA4EB" w14:textId="77777777" w:rsidR="00E335B2" w:rsidRDefault="00E335B2" w:rsidP="00E335B2">
      <w:pPr>
        <w:pStyle w:val="Prrafodelista"/>
        <w:ind w:left="1134"/>
        <w:jc w:val="both"/>
        <w:rPr>
          <w:rFonts w:ascii="Verdana" w:hAnsi="Verdana"/>
          <w:sz w:val="20"/>
          <w:szCs w:val="20"/>
        </w:rPr>
      </w:pPr>
    </w:p>
    <w:p w14:paraId="634B0973" w14:textId="22490420" w:rsidR="00E335B2" w:rsidRDefault="0009774B" w:rsidP="00E335B2">
      <w:pPr>
        <w:pStyle w:val="Prrafodelista"/>
        <w:numPr>
          <w:ilvl w:val="0"/>
          <w:numId w:val="90"/>
        </w:numPr>
        <w:ind w:left="1134" w:hanging="567"/>
        <w:jc w:val="both"/>
        <w:rPr>
          <w:rFonts w:ascii="Verdana" w:hAnsi="Verdana"/>
          <w:sz w:val="20"/>
          <w:szCs w:val="20"/>
        </w:rPr>
      </w:pPr>
      <w:r w:rsidRPr="00E335B2">
        <w:rPr>
          <w:rFonts w:ascii="Verdana" w:hAnsi="Verdana"/>
          <w:sz w:val="20"/>
          <w:szCs w:val="20"/>
        </w:rPr>
        <w:t xml:space="preserve">Un monitoreo continuo del modelo, incluida la verificación del proceso y la evaluación comparativa o </w:t>
      </w:r>
      <w:r w:rsidRPr="00802A57">
        <w:rPr>
          <w:rFonts w:ascii="Verdana" w:hAnsi="Verdana"/>
          <w:i/>
          <w:iCs/>
          <w:sz w:val="20"/>
          <w:szCs w:val="20"/>
        </w:rPr>
        <w:t>benchmarking</w:t>
      </w:r>
      <w:r w:rsidR="00E335B2">
        <w:rPr>
          <w:rFonts w:ascii="Verdana" w:hAnsi="Verdana"/>
          <w:sz w:val="20"/>
          <w:szCs w:val="20"/>
        </w:rPr>
        <w:t>.</w:t>
      </w:r>
    </w:p>
    <w:p w14:paraId="50B66B79" w14:textId="77777777" w:rsidR="00E335B2" w:rsidRPr="00E335B2" w:rsidRDefault="00E335B2" w:rsidP="00E335B2">
      <w:pPr>
        <w:pStyle w:val="Prrafodelista"/>
        <w:rPr>
          <w:rFonts w:ascii="Verdana" w:hAnsi="Verdana"/>
          <w:sz w:val="20"/>
          <w:szCs w:val="20"/>
        </w:rPr>
      </w:pPr>
    </w:p>
    <w:p w14:paraId="5047557D" w14:textId="662FFECA" w:rsidR="00392A94" w:rsidRPr="00E335B2" w:rsidRDefault="0009774B" w:rsidP="00E335B2">
      <w:pPr>
        <w:pStyle w:val="Prrafodelista"/>
        <w:numPr>
          <w:ilvl w:val="0"/>
          <w:numId w:val="90"/>
        </w:numPr>
        <w:ind w:left="1134" w:hanging="567"/>
        <w:jc w:val="both"/>
        <w:rPr>
          <w:rFonts w:ascii="Verdana" w:hAnsi="Verdana"/>
          <w:sz w:val="20"/>
          <w:szCs w:val="20"/>
        </w:rPr>
      </w:pPr>
      <w:r w:rsidRPr="00E335B2">
        <w:rPr>
          <w:rFonts w:ascii="Verdana" w:hAnsi="Verdana"/>
          <w:sz w:val="20"/>
          <w:szCs w:val="20"/>
        </w:rPr>
        <w:t xml:space="preserve">Un análisis de resultados, incluido el </w:t>
      </w:r>
      <w:proofErr w:type="spellStart"/>
      <w:r w:rsidRPr="00E335B2">
        <w:rPr>
          <w:rFonts w:ascii="Verdana" w:hAnsi="Verdana"/>
          <w:i/>
          <w:iCs/>
          <w:sz w:val="20"/>
          <w:szCs w:val="20"/>
        </w:rPr>
        <w:t>backtesting</w:t>
      </w:r>
      <w:proofErr w:type="spellEnd"/>
      <w:r w:rsidRPr="00E335B2">
        <w:rPr>
          <w:rFonts w:ascii="Verdana" w:hAnsi="Verdana"/>
          <w:sz w:val="20"/>
          <w:szCs w:val="20"/>
        </w:rPr>
        <w:t xml:space="preserve"> de los parámetros principales del modelo</w:t>
      </w:r>
      <w:r w:rsidR="00E335B2">
        <w:rPr>
          <w:rFonts w:ascii="Verdana" w:hAnsi="Verdana"/>
          <w:sz w:val="20"/>
          <w:szCs w:val="20"/>
        </w:rPr>
        <w:t>.</w:t>
      </w:r>
    </w:p>
    <w:p w14:paraId="063E13D6" w14:textId="77777777" w:rsidR="00E335B2" w:rsidRDefault="00E335B2" w:rsidP="00E335B2">
      <w:pPr>
        <w:pStyle w:val="Prrafodelista"/>
        <w:ind w:left="567"/>
        <w:jc w:val="both"/>
        <w:rPr>
          <w:rFonts w:ascii="Verdana" w:hAnsi="Verdana"/>
          <w:sz w:val="20"/>
          <w:szCs w:val="20"/>
        </w:rPr>
      </w:pPr>
    </w:p>
    <w:p w14:paraId="4351D086" w14:textId="77777777" w:rsidR="001E6B74" w:rsidRDefault="000B6F7E" w:rsidP="001E6B74">
      <w:pPr>
        <w:pStyle w:val="Prrafodelista"/>
        <w:numPr>
          <w:ilvl w:val="0"/>
          <w:numId w:val="88"/>
        </w:numPr>
        <w:ind w:left="567" w:hanging="567"/>
        <w:jc w:val="both"/>
        <w:rPr>
          <w:rFonts w:ascii="Verdana" w:hAnsi="Verdana"/>
          <w:sz w:val="20"/>
          <w:szCs w:val="20"/>
        </w:rPr>
      </w:pPr>
      <w:r w:rsidRPr="000B6F7E">
        <w:rPr>
          <w:rFonts w:ascii="Verdana" w:hAnsi="Verdana"/>
          <w:sz w:val="20"/>
          <w:szCs w:val="20"/>
        </w:rPr>
        <w:t>Cuando la entidad decida utilizar software de proveedores externos para la estimación del impacto del RTILB y RSCLB en el VEP y en el MNI, debe incluir la personalización específica del modelo y asegurarse de contar con la documentación adecuada que soporte dicha gestión. Así mismo, si requiere utilizar datos de mercado, parámetros de comportamiento, o una configuración particular de los modelos, debe asegurarse que dicha información sea razonable y adecuada para su negocio y las características de riesgo de sus actividades.</w:t>
      </w:r>
    </w:p>
    <w:p w14:paraId="1F55FA00" w14:textId="34B96DA9" w:rsidR="001E6B74" w:rsidRPr="001E6B74" w:rsidRDefault="001E6B74" w:rsidP="001E6B74">
      <w:pPr>
        <w:pStyle w:val="Prrafodelista"/>
        <w:ind w:left="567"/>
        <w:jc w:val="both"/>
        <w:rPr>
          <w:rFonts w:ascii="Verdana" w:hAnsi="Verdana"/>
          <w:sz w:val="20"/>
          <w:szCs w:val="20"/>
        </w:rPr>
      </w:pPr>
      <w:r w:rsidRPr="001E6B74">
        <w:rPr>
          <w:rFonts w:ascii="Verdana" w:hAnsi="Verdana"/>
          <w:sz w:val="20"/>
          <w:szCs w:val="20"/>
        </w:rPr>
        <w:t xml:space="preserve"> </w:t>
      </w:r>
    </w:p>
    <w:p w14:paraId="40649955" w14:textId="2018158A" w:rsidR="001E6B74" w:rsidRPr="009852C8" w:rsidRDefault="001E6B74" w:rsidP="0079613F">
      <w:pPr>
        <w:pStyle w:val="Prrafodelista"/>
        <w:numPr>
          <w:ilvl w:val="1"/>
          <w:numId w:val="6"/>
        </w:numPr>
        <w:ind w:left="851" w:hanging="284"/>
        <w:jc w:val="both"/>
        <w:rPr>
          <w:rFonts w:ascii="Verdana" w:hAnsi="Verdana"/>
          <w:b/>
          <w:bCs/>
          <w:sz w:val="20"/>
          <w:szCs w:val="20"/>
        </w:rPr>
      </w:pPr>
      <w:r>
        <w:rPr>
          <w:rFonts w:ascii="Verdana" w:hAnsi="Verdana"/>
          <w:b/>
          <w:bCs/>
          <w:sz w:val="20"/>
          <w:szCs w:val="20"/>
        </w:rPr>
        <w:t>Pruebas de desempeño</w:t>
      </w:r>
    </w:p>
    <w:p w14:paraId="6E5B28B8" w14:textId="5BD3B9B5" w:rsidR="001E6B74" w:rsidRPr="0086035E" w:rsidRDefault="001E6B74" w:rsidP="001E6B7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34</w:t>
      </w:r>
      <w:r w:rsidR="00CD417D">
        <w:rPr>
          <w:rFonts w:ascii="Verdana" w:hAnsi="Verdana"/>
          <w:sz w:val="20"/>
          <w:szCs w:val="20"/>
        </w:rPr>
        <w:t>7</w:t>
      </w:r>
      <w:r w:rsidRPr="0086035E">
        <w:rPr>
          <w:rFonts w:ascii="Verdana" w:hAnsi="Verdana"/>
          <w:sz w:val="20"/>
          <w:szCs w:val="20"/>
        </w:rPr>
        <w:t>.</w:t>
      </w:r>
    </w:p>
    <w:p w14:paraId="5263BF23" w14:textId="1C517E18" w:rsidR="000B6F7E" w:rsidRPr="00561C38" w:rsidRDefault="001B2950" w:rsidP="00561C38">
      <w:pPr>
        <w:jc w:val="both"/>
        <w:rPr>
          <w:rFonts w:ascii="Verdana" w:hAnsi="Verdana"/>
          <w:sz w:val="20"/>
          <w:szCs w:val="20"/>
        </w:rPr>
      </w:pPr>
      <w:r w:rsidRPr="001B2950">
        <w:rPr>
          <w:rFonts w:ascii="Verdana" w:hAnsi="Verdana"/>
          <w:sz w:val="20"/>
          <w:szCs w:val="20"/>
        </w:rPr>
        <w:t>Las pruebas de desempeño de los modelos internos tienen como propósito sustentar la consistencia y confiabilidad de los modelos internos y de los indicadores estimados por la entidad para la determinación de los flujos de cada banda y la modelación del impacto de los cambios en las tasas de interés de las exposiciones del libro bancario, incluyendo el análisis de sensibilidad para la estrategia de cobertura para la mitigación de este riesgo. Estas pruebas consisten fundamentalmente en un proceso de revisión permanente por parte de la entidad sobre el modelo interno utilizado y de la validación de los supuestos, parámetros y juicios expertos, subyacentes al cálculo del RTILB.</w:t>
      </w:r>
    </w:p>
    <w:p w14:paraId="18DD3B7A" w14:textId="5B3BE32D" w:rsidR="001B2950" w:rsidRPr="0086035E" w:rsidRDefault="001B2950" w:rsidP="001B295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34</w:t>
      </w:r>
      <w:r w:rsidR="00CD417D">
        <w:rPr>
          <w:rFonts w:ascii="Verdana" w:hAnsi="Verdana"/>
          <w:sz w:val="20"/>
          <w:szCs w:val="20"/>
        </w:rPr>
        <w:t>8</w:t>
      </w:r>
      <w:r w:rsidRPr="0086035E">
        <w:rPr>
          <w:rFonts w:ascii="Verdana" w:hAnsi="Verdana"/>
          <w:sz w:val="20"/>
          <w:szCs w:val="20"/>
        </w:rPr>
        <w:t>.</w:t>
      </w:r>
    </w:p>
    <w:p w14:paraId="7A3F87CA" w14:textId="425D73AC" w:rsidR="001B2950" w:rsidRPr="00561C38" w:rsidRDefault="00DC04F2" w:rsidP="001B2950">
      <w:pPr>
        <w:jc w:val="both"/>
        <w:rPr>
          <w:rFonts w:ascii="Verdana" w:hAnsi="Verdana"/>
          <w:sz w:val="20"/>
          <w:szCs w:val="20"/>
        </w:rPr>
      </w:pPr>
      <w:r w:rsidRPr="00DC04F2">
        <w:rPr>
          <w:rFonts w:ascii="Verdana" w:hAnsi="Verdana"/>
          <w:sz w:val="20"/>
          <w:szCs w:val="20"/>
        </w:rPr>
        <w:t>Las pruebas de desempeño deben realizarse por lo menos anualmente. Los resultados de las pruebas y la metodología empleada por la entidad para su realización deben estar documentados y mantenerse a disposición de la SFC y de la auditoría.</w:t>
      </w:r>
    </w:p>
    <w:p w14:paraId="562AD1C0" w14:textId="4022241A" w:rsidR="00DC04F2" w:rsidRPr="009852C8" w:rsidRDefault="00DC04F2" w:rsidP="00DC04F2">
      <w:pPr>
        <w:pStyle w:val="Prrafodelista"/>
        <w:numPr>
          <w:ilvl w:val="0"/>
          <w:numId w:val="6"/>
        </w:numPr>
        <w:ind w:left="567" w:hanging="283"/>
        <w:jc w:val="both"/>
        <w:rPr>
          <w:rFonts w:ascii="Verdana" w:hAnsi="Verdana"/>
          <w:b/>
          <w:bCs/>
          <w:sz w:val="20"/>
          <w:szCs w:val="20"/>
        </w:rPr>
      </w:pPr>
      <w:r>
        <w:rPr>
          <w:rFonts w:ascii="Verdana" w:hAnsi="Verdana"/>
          <w:b/>
          <w:bCs/>
          <w:sz w:val="20"/>
          <w:szCs w:val="20"/>
        </w:rPr>
        <w:t>Pruebas de estrés</w:t>
      </w:r>
    </w:p>
    <w:p w14:paraId="4C8451D0" w14:textId="1346C91B" w:rsidR="001B2950" w:rsidRPr="0086035E" w:rsidRDefault="001B2950" w:rsidP="001B2950">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34</w:t>
      </w:r>
      <w:r w:rsidR="00CD417D">
        <w:rPr>
          <w:rFonts w:ascii="Verdana" w:hAnsi="Verdana"/>
          <w:sz w:val="20"/>
          <w:szCs w:val="20"/>
        </w:rPr>
        <w:t>9</w:t>
      </w:r>
      <w:r w:rsidRPr="0086035E">
        <w:rPr>
          <w:rFonts w:ascii="Verdana" w:hAnsi="Verdana"/>
          <w:sz w:val="20"/>
          <w:szCs w:val="20"/>
        </w:rPr>
        <w:t>.</w:t>
      </w:r>
    </w:p>
    <w:p w14:paraId="0B436418" w14:textId="50872F75" w:rsidR="001B2950" w:rsidRPr="00561C38" w:rsidRDefault="001B2950" w:rsidP="001B2950">
      <w:pPr>
        <w:jc w:val="both"/>
        <w:rPr>
          <w:rFonts w:ascii="Verdana" w:hAnsi="Verdana"/>
          <w:sz w:val="20"/>
          <w:szCs w:val="20"/>
        </w:rPr>
      </w:pPr>
      <w:r w:rsidRPr="001B2950">
        <w:rPr>
          <w:rFonts w:ascii="Verdana" w:hAnsi="Verdana"/>
          <w:sz w:val="20"/>
          <w:szCs w:val="20"/>
        </w:rPr>
        <w:t xml:space="preserve">Las </w:t>
      </w:r>
      <w:r w:rsidR="00E73CE4" w:rsidRPr="00E73CE4">
        <w:rPr>
          <w:rFonts w:ascii="Verdana" w:hAnsi="Verdana"/>
          <w:sz w:val="20"/>
          <w:szCs w:val="20"/>
        </w:rPr>
        <w:t xml:space="preserve">pruebas de estrés de la entidad para RTILB deben ser acordes con su naturaleza, tamaño y complejidad, así como con las actividades comerciales y su perfil de riesgo general. Estas deben incluir objetivos claramente definidos, escenarios adaptados a los negocios y riesgos de la entidad, supuestos bien documentados y metodologías sólidas. La entidad debe contar con pruebas de estrés efectivas para el RTILB como parte de sus procesos más amplios de gestión y gobierno de riesgos. Los resultados de las pruebas de estrés deben hacer parte del proceso de toma de decisiones en el nivel gerencial, incluidas las decisiones estratégicas de los órganos de gobierno de la entidad, por ejemplo: decisiones de planificación comercial y en el proceso de </w:t>
      </w:r>
      <w:r w:rsidR="001D5411" w:rsidRPr="001D5411">
        <w:rPr>
          <w:rFonts w:ascii="Verdana" w:hAnsi="Verdana"/>
          <w:sz w:val="20"/>
          <w:szCs w:val="20"/>
        </w:rPr>
        <w:t>autoevaluación de capital</w:t>
      </w:r>
      <w:r w:rsidR="00E73CE4" w:rsidRPr="00E73CE4">
        <w:rPr>
          <w:rFonts w:ascii="Verdana" w:hAnsi="Verdana"/>
          <w:sz w:val="20"/>
          <w:szCs w:val="20"/>
        </w:rPr>
        <w:t>.</w:t>
      </w:r>
    </w:p>
    <w:p w14:paraId="702D0ADE" w14:textId="7958C94B" w:rsidR="00E73CE4" w:rsidRPr="0086035E" w:rsidRDefault="00E73CE4" w:rsidP="00E73CE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50</w:t>
      </w:r>
      <w:r w:rsidRPr="0086035E">
        <w:rPr>
          <w:rFonts w:ascii="Verdana" w:hAnsi="Verdana"/>
          <w:sz w:val="20"/>
          <w:szCs w:val="20"/>
        </w:rPr>
        <w:t>.</w:t>
      </w:r>
    </w:p>
    <w:p w14:paraId="46677465" w14:textId="757BFDEA" w:rsidR="00EB7B0D" w:rsidRDefault="00494FA2" w:rsidP="00E73CE4">
      <w:pPr>
        <w:jc w:val="both"/>
        <w:rPr>
          <w:rFonts w:ascii="Verdana" w:hAnsi="Verdana"/>
          <w:sz w:val="20"/>
          <w:szCs w:val="20"/>
        </w:rPr>
      </w:pPr>
      <w:r w:rsidRPr="00494FA2">
        <w:rPr>
          <w:rFonts w:ascii="Verdana" w:hAnsi="Verdana"/>
          <w:sz w:val="20"/>
          <w:szCs w:val="20"/>
        </w:rPr>
        <w:t>La entidad debe realizar pruebas de estrés inversas para: (i) identificar escenarios de tasas de interés que podrían amenazar gravemente el capital, el valor económico y los ingresos netos por intereses de una institución; y (</w:t>
      </w:r>
      <w:proofErr w:type="spellStart"/>
      <w:r w:rsidRPr="00494FA2">
        <w:rPr>
          <w:rFonts w:ascii="Verdana" w:hAnsi="Verdana"/>
          <w:sz w:val="20"/>
          <w:szCs w:val="20"/>
        </w:rPr>
        <w:t>ii</w:t>
      </w:r>
      <w:proofErr w:type="spellEnd"/>
      <w:r w:rsidRPr="00494FA2">
        <w:rPr>
          <w:rFonts w:ascii="Verdana" w:hAnsi="Verdana"/>
          <w:sz w:val="20"/>
          <w:szCs w:val="20"/>
        </w:rPr>
        <w:t>) revelar vulnerabilidades derivadas de sus estrategias de cobertura y las posibles reacciones de comportamiento de sus clientes</w:t>
      </w:r>
      <w:r>
        <w:rPr>
          <w:rFonts w:ascii="Verdana" w:hAnsi="Verdana"/>
          <w:sz w:val="20"/>
          <w:szCs w:val="20"/>
        </w:rPr>
        <w:t>.</w:t>
      </w:r>
    </w:p>
    <w:p w14:paraId="33C67111" w14:textId="4D510709" w:rsidR="00E73CE4" w:rsidRPr="0086035E" w:rsidRDefault="00E73CE4" w:rsidP="00E73CE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51</w:t>
      </w:r>
      <w:r w:rsidRPr="0086035E">
        <w:rPr>
          <w:rFonts w:ascii="Verdana" w:hAnsi="Verdana"/>
          <w:sz w:val="20"/>
          <w:szCs w:val="20"/>
        </w:rPr>
        <w:t>.</w:t>
      </w:r>
    </w:p>
    <w:p w14:paraId="3F7983EA" w14:textId="0B45B987" w:rsidR="00E73CE4" w:rsidRDefault="002F3C39" w:rsidP="00E73CE4">
      <w:pPr>
        <w:jc w:val="both"/>
        <w:rPr>
          <w:rFonts w:ascii="Verdana" w:hAnsi="Verdana"/>
          <w:sz w:val="20"/>
          <w:szCs w:val="20"/>
        </w:rPr>
      </w:pPr>
      <w:r w:rsidRPr="002F3C39">
        <w:rPr>
          <w:rFonts w:ascii="Verdana" w:hAnsi="Verdana"/>
          <w:sz w:val="20"/>
          <w:szCs w:val="20"/>
        </w:rPr>
        <w:t>La entidad debe elaborar pruebas de estrés con el fin de</w:t>
      </w:r>
      <w:r>
        <w:rPr>
          <w:rFonts w:ascii="Verdana" w:hAnsi="Verdana"/>
          <w:sz w:val="20"/>
          <w:szCs w:val="20"/>
        </w:rPr>
        <w:t>:</w:t>
      </w:r>
    </w:p>
    <w:p w14:paraId="1A81CA75" w14:textId="77777777" w:rsidR="00B67755" w:rsidRDefault="00B67755" w:rsidP="00B67755">
      <w:pPr>
        <w:pStyle w:val="Prrafodelista"/>
        <w:numPr>
          <w:ilvl w:val="0"/>
          <w:numId w:val="91"/>
        </w:numPr>
        <w:ind w:left="567" w:hanging="567"/>
        <w:jc w:val="both"/>
        <w:rPr>
          <w:rFonts w:ascii="Verdana" w:hAnsi="Verdana"/>
          <w:sz w:val="20"/>
          <w:szCs w:val="20"/>
        </w:rPr>
      </w:pPr>
      <w:r w:rsidRPr="00B67755">
        <w:rPr>
          <w:rFonts w:ascii="Verdana" w:hAnsi="Verdana"/>
          <w:sz w:val="20"/>
          <w:szCs w:val="20"/>
        </w:rPr>
        <w:lastRenderedPageBreak/>
        <w:t>Evaluar el impacto de las condiciones de mercado adversas del RTILB medido para el MNI y el VEP.</w:t>
      </w:r>
    </w:p>
    <w:p w14:paraId="4B2A2A26" w14:textId="77777777" w:rsidR="00B67755" w:rsidRDefault="00B67755" w:rsidP="00B67755">
      <w:pPr>
        <w:pStyle w:val="Prrafodelista"/>
        <w:ind w:left="567"/>
        <w:jc w:val="both"/>
        <w:rPr>
          <w:rFonts w:ascii="Verdana" w:hAnsi="Verdana"/>
          <w:sz w:val="20"/>
          <w:szCs w:val="20"/>
        </w:rPr>
      </w:pPr>
    </w:p>
    <w:p w14:paraId="28C197F1" w14:textId="77777777" w:rsidR="00B67755" w:rsidRDefault="00B67755" w:rsidP="00B67755">
      <w:pPr>
        <w:pStyle w:val="Prrafodelista"/>
        <w:numPr>
          <w:ilvl w:val="0"/>
          <w:numId w:val="91"/>
        </w:numPr>
        <w:ind w:left="567" w:hanging="567"/>
        <w:jc w:val="both"/>
        <w:rPr>
          <w:rFonts w:ascii="Verdana" w:hAnsi="Verdana"/>
          <w:sz w:val="20"/>
          <w:szCs w:val="20"/>
        </w:rPr>
      </w:pPr>
      <w:r w:rsidRPr="00B67755">
        <w:rPr>
          <w:rFonts w:ascii="Verdana" w:hAnsi="Verdana"/>
          <w:sz w:val="20"/>
          <w:szCs w:val="20"/>
        </w:rPr>
        <w:t>Identificar los escenarios de tasas de interés que puedan tener un impacto significativo en el resultado del margen de intermediación financiera o de capital de la entidad.</w:t>
      </w:r>
    </w:p>
    <w:p w14:paraId="25EEAE0D" w14:textId="77777777" w:rsidR="00B67755" w:rsidRPr="00B67755" w:rsidRDefault="00B67755" w:rsidP="00B67755">
      <w:pPr>
        <w:pStyle w:val="Prrafodelista"/>
        <w:rPr>
          <w:rFonts w:ascii="Verdana" w:hAnsi="Verdana"/>
          <w:sz w:val="20"/>
          <w:szCs w:val="20"/>
        </w:rPr>
      </w:pPr>
    </w:p>
    <w:p w14:paraId="3AAECA6B" w14:textId="77777777" w:rsidR="008918C0" w:rsidRDefault="00B67755" w:rsidP="00B67755">
      <w:pPr>
        <w:pStyle w:val="Prrafodelista"/>
        <w:numPr>
          <w:ilvl w:val="0"/>
          <w:numId w:val="91"/>
        </w:numPr>
        <w:ind w:left="567" w:hanging="567"/>
        <w:jc w:val="both"/>
        <w:rPr>
          <w:rFonts w:ascii="Verdana" w:hAnsi="Verdana"/>
          <w:sz w:val="20"/>
          <w:szCs w:val="20"/>
        </w:rPr>
      </w:pPr>
      <w:r w:rsidRPr="00B67755">
        <w:rPr>
          <w:rFonts w:ascii="Verdana" w:hAnsi="Verdana"/>
          <w:sz w:val="20"/>
          <w:szCs w:val="20"/>
        </w:rPr>
        <w:t>Identificar las vulnerabilidades de las estrategias de cobertura e inmunización utilizadas para mitigar las exposiciones al RTILB.</w:t>
      </w:r>
    </w:p>
    <w:p w14:paraId="5E98314D" w14:textId="77777777" w:rsidR="008918C0" w:rsidRPr="008918C0" w:rsidRDefault="008918C0" w:rsidP="008918C0">
      <w:pPr>
        <w:pStyle w:val="Prrafodelista"/>
        <w:rPr>
          <w:rFonts w:ascii="Verdana" w:hAnsi="Verdana"/>
          <w:sz w:val="20"/>
          <w:szCs w:val="20"/>
        </w:rPr>
      </w:pPr>
    </w:p>
    <w:p w14:paraId="72D9B80F" w14:textId="77777777" w:rsidR="005B2EBF" w:rsidRDefault="00B67755" w:rsidP="00747EBD">
      <w:pPr>
        <w:pStyle w:val="Prrafodelista"/>
        <w:numPr>
          <w:ilvl w:val="0"/>
          <w:numId w:val="91"/>
        </w:numPr>
        <w:ind w:left="567" w:hanging="567"/>
        <w:jc w:val="both"/>
        <w:rPr>
          <w:rFonts w:ascii="Verdana" w:hAnsi="Verdana"/>
          <w:sz w:val="20"/>
          <w:szCs w:val="20"/>
        </w:rPr>
      </w:pPr>
      <w:r w:rsidRPr="008918C0">
        <w:rPr>
          <w:rFonts w:ascii="Verdana" w:hAnsi="Verdana"/>
          <w:sz w:val="20"/>
          <w:szCs w:val="20"/>
        </w:rPr>
        <w:t>Identificar el efecto potencial derivado de los cambios en el comportamiento de los clientes debido a variaciones en las tasas de interés.</w:t>
      </w:r>
    </w:p>
    <w:p w14:paraId="49928E25" w14:textId="77777777" w:rsidR="005B2EBF" w:rsidRDefault="005B2EBF" w:rsidP="005B2EBF">
      <w:pPr>
        <w:pStyle w:val="Prrafodelista"/>
        <w:ind w:left="567"/>
        <w:jc w:val="both"/>
        <w:rPr>
          <w:rFonts w:ascii="Verdana" w:hAnsi="Verdana"/>
          <w:b/>
          <w:bCs/>
          <w:sz w:val="20"/>
          <w:szCs w:val="20"/>
        </w:rPr>
      </w:pPr>
    </w:p>
    <w:p w14:paraId="042B15A9" w14:textId="77777777" w:rsidR="00A2594C" w:rsidRDefault="005B2EBF" w:rsidP="00A2594C">
      <w:pPr>
        <w:pStyle w:val="Prrafodelista"/>
        <w:numPr>
          <w:ilvl w:val="0"/>
          <w:numId w:val="6"/>
        </w:numPr>
        <w:ind w:left="567" w:hanging="283"/>
        <w:jc w:val="both"/>
        <w:rPr>
          <w:rFonts w:ascii="Verdana" w:hAnsi="Verdana"/>
          <w:b/>
          <w:bCs/>
          <w:sz w:val="20"/>
          <w:szCs w:val="20"/>
        </w:rPr>
      </w:pPr>
      <w:r w:rsidRPr="00762973">
        <w:rPr>
          <w:rFonts w:ascii="Verdana" w:hAnsi="Verdana"/>
          <w:b/>
          <w:bCs/>
          <w:sz w:val="20"/>
          <w:szCs w:val="20"/>
        </w:rPr>
        <w:t xml:space="preserve">Estimación del proceso de </w:t>
      </w:r>
      <w:r w:rsidR="007076E3">
        <w:rPr>
          <w:rFonts w:ascii="Verdana" w:hAnsi="Verdana"/>
          <w:b/>
          <w:bCs/>
          <w:sz w:val="20"/>
          <w:szCs w:val="20"/>
        </w:rPr>
        <w:t xml:space="preserve">autoevaluación de </w:t>
      </w:r>
      <w:r w:rsidR="00762973" w:rsidRPr="00762973">
        <w:rPr>
          <w:rFonts w:ascii="Verdana" w:hAnsi="Verdana"/>
          <w:b/>
          <w:bCs/>
          <w:sz w:val="20"/>
          <w:szCs w:val="20"/>
        </w:rPr>
        <w:t>capital</w:t>
      </w:r>
    </w:p>
    <w:p w14:paraId="4D7A96E5" w14:textId="77777777" w:rsidR="00A2594C" w:rsidRDefault="00747EBD" w:rsidP="00A2594C">
      <w:pPr>
        <w:spacing w:after="0"/>
        <w:jc w:val="both"/>
        <w:rPr>
          <w:rFonts w:ascii="Verdana" w:hAnsi="Verdana"/>
          <w:b/>
          <w:bCs/>
          <w:sz w:val="20"/>
          <w:szCs w:val="20"/>
        </w:rPr>
      </w:pPr>
      <w:r w:rsidRPr="00A2594C">
        <w:rPr>
          <w:rFonts w:ascii="Verdana" w:hAnsi="Verdana"/>
          <w:sz w:val="20"/>
          <w:szCs w:val="20"/>
        </w:rPr>
        <w:t>1.1.2.3</w:t>
      </w:r>
      <w:r w:rsidR="00CD417D" w:rsidRPr="00A2594C">
        <w:rPr>
          <w:rFonts w:ascii="Verdana" w:hAnsi="Verdana"/>
          <w:sz w:val="20"/>
          <w:szCs w:val="20"/>
        </w:rPr>
        <w:t>52</w:t>
      </w:r>
      <w:r w:rsidRPr="00A2594C">
        <w:rPr>
          <w:rFonts w:ascii="Verdana" w:hAnsi="Verdana"/>
          <w:sz w:val="20"/>
          <w:szCs w:val="20"/>
        </w:rPr>
        <w:t>.</w:t>
      </w:r>
    </w:p>
    <w:p w14:paraId="2B3C432C" w14:textId="6AAB6CD2" w:rsidR="00D2530E" w:rsidRPr="00A2594C" w:rsidRDefault="00747EBD" w:rsidP="00A2594C">
      <w:pPr>
        <w:spacing w:after="0"/>
        <w:jc w:val="both"/>
        <w:rPr>
          <w:rFonts w:ascii="Verdana" w:hAnsi="Verdana"/>
          <w:b/>
          <w:bCs/>
          <w:sz w:val="20"/>
          <w:szCs w:val="20"/>
        </w:rPr>
      </w:pPr>
      <w:r w:rsidRPr="00747EBD">
        <w:rPr>
          <w:rFonts w:ascii="Verdana" w:hAnsi="Verdana"/>
          <w:sz w:val="20"/>
          <w:szCs w:val="20"/>
        </w:rPr>
        <w:t>En la gestión de riesgos la entidad debe evaluar la suficiencia y la calidad de su capital para cubrir el RTILB</w:t>
      </w:r>
      <w:r w:rsidR="00D2530E">
        <w:rPr>
          <w:rFonts w:ascii="Verdana" w:hAnsi="Verdana"/>
          <w:sz w:val="20"/>
          <w:szCs w:val="20"/>
        </w:rPr>
        <w:t>.</w:t>
      </w:r>
      <w:r w:rsidR="00D2530E" w:rsidRPr="00D2530E">
        <w:rPr>
          <w:rFonts w:ascii="Verdana" w:hAnsi="Verdana"/>
          <w:sz w:val="20"/>
          <w:szCs w:val="20"/>
        </w:rPr>
        <w:t xml:space="preserve"> </w:t>
      </w:r>
    </w:p>
    <w:p w14:paraId="5C00066B" w14:textId="77777777" w:rsidR="00A2594C" w:rsidRDefault="00A2594C" w:rsidP="00D2530E">
      <w:pPr>
        <w:spacing w:after="0"/>
        <w:jc w:val="both"/>
        <w:rPr>
          <w:rFonts w:ascii="Verdana" w:hAnsi="Verdana"/>
          <w:sz w:val="20"/>
          <w:szCs w:val="20"/>
        </w:rPr>
      </w:pPr>
    </w:p>
    <w:p w14:paraId="41E9B425" w14:textId="3487E243" w:rsidR="00D2530E" w:rsidRPr="0086035E" w:rsidRDefault="00D2530E" w:rsidP="00D2530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53</w:t>
      </w:r>
      <w:r w:rsidRPr="0086035E">
        <w:rPr>
          <w:rFonts w:ascii="Verdana" w:hAnsi="Verdana"/>
          <w:sz w:val="20"/>
          <w:szCs w:val="20"/>
        </w:rPr>
        <w:t>.</w:t>
      </w:r>
    </w:p>
    <w:p w14:paraId="02BD3760" w14:textId="605BAB06" w:rsidR="00D2530E" w:rsidRDefault="00D2530E" w:rsidP="00D2530E">
      <w:pPr>
        <w:jc w:val="both"/>
        <w:rPr>
          <w:rFonts w:ascii="Verdana" w:hAnsi="Verdana"/>
          <w:sz w:val="20"/>
          <w:szCs w:val="20"/>
        </w:rPr>
      </w:pPr>
      <w:r w:rsidRPr="002F3C39">
        <w:rPr>
          <w:rFonts w:ascii="Verdana" w:hAnsi="Verdana"/>
          <w:sz w:val="20"/>
          <w:szCs w:val="20"/>
        </w:rPr>
        <w:t>La</w:t>
      </w:r>
      <w:r>
        <w:rPr>
          <w:rFonts w:ascii="Verdana" w:hAnsi="Verdana"/>
          <w:sz w:val="20"/>
          <w:szCs w:val="20"/>
        </w:rPr>
        <w:t xml:space="preserve"> </w:t>
      </w:r>
      <w:r w:rsidR="00747EBD" w:rsidRPr="00747EBD">
        <w:rPr>
          <w:rFonts w:ascii="Verdana" w:hAnsi="Verdana"/>
          <w:sz w:val="20"/>
          <w:szCs w:val="20"/>
        </w:rPr>
        <w:t xml:space="preserve">modelación debe permitir a la entidad demostrar que su capital es proporcional al nivel de RTILB, teniendo en cuenta el impacto sobre el capital de posibles variaciones del valor económico y de los resultados futuros ante las variaciones de las tasas de interés. Para controlar una mayor exposición del RTILB, la entidad debe evaluar periódicamente la exposición significativa al RTILB medido a través de la prueba de valores atípicos sobre el VEP, según lo dispuesto en </w:t>
      </w:r>
      <w:r w:rsidR="002C5E3B" w:rsidRPr="002C5E3B">
        <w:rPr>
          <w:rFonts w:ascii="Verdana" w:hAnsi="Verdana"/>
          <w:sz w:val="20"/>
          <w:szCs w:val="20"/>
        </w:rPr>
        <w:t>los párrafos 1.1.2.355. y 1.1.2.356.</w:t>
      </w:r>
      <w:r w:rsidRPr="00D2530E">
        <w:rPr>
          <w:rFonts w:ascii="Verdana" w:hAnsi="Verdana"/>
          <w:sz w:val="20"/>
          <w:szCs w:val="20"/>
        </w:rPr>
        <w:t xml:space="preserve"> </w:t>
      </w:r>
    </w:p>
    <w:p w14:paraId="30021ED7" w14:textId="06407C1E" w:rsidR="00D2530E" w:rsidRPr="0086035E" w:rsidRDefault="00D2530E" w:rsidP="00D2530E">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54</w:t>
      </w:r>
      <w:r w:rsidRPr="0086035E">
        <w:rPr>
          <w:rFonts w:ascii="Verdana" w:hAnsi="Verdana"/>
          <w:sz w:val="20"/>
          <w:szCs w:val="20"/>
        </w:rPr>
        <w:t>.</w:t>
      </w:r>
    </w:p>
    <w:p w14:paraId="6D72469F" w14:textId="5EAA85D8" w:rsidR="00D2530E" w:rsidRPr="00747EBD" w:rsidRDefault="00D2530E" w:rsidP="00D2530E">
      <w:pPr>
        <w:spacing w:after="0"/>
        <w:jc w:val="both"/>
        <w:rPr>
          <w:rFonts w:ascii="Verdana" w:hAnsi="Verdana"/>
          <w:sz w:val="20"/>
          <w:szCs w:val="20"/>
        </w:rPr>
      </w:pPr>
      <w:r w:rsidRPr="00747EBD">
        <w:rPr>
          <w:rFonts w:ascii="Verdana" w:hAnsi="Verdana"/>
          <w:sz w:val="20"/>
          <w:szCs w:val="20"/>
        </w:rPr>
        <w:t xml:space="preserve">En la </w:t>
      </w:r>
      <w:r w:rsidR="00381DD8">
        <w:rPr>
          <w:rFonts w:ascii="Verdana" w:hAnsi="Verdana"/>
          <w:sz w:val="20"/>
          <w:szCs w:val="20"/>
        </w:rPr>
        <w:t>auto</w:t>
      </w:r>
      <w:r w:rsidRPr="00747EBD">
        <w:rPr>
          <w:rFonts w:ascii="Verdana" w:hAnsi="Verdana"/>
          <w:sz w:val="20"/>
          <w:szCs w:val="20"/>
        </w:rPr>
        <w:t>evaluación de suficiencia de capital, la entidad debe tener en cuenta:</w:t>
      </w:r>
    </w:p>
    <w:p w14:paraId="432DCC42" w14:textId="77777777" w:rsidR="00747EBD" w:rsidRDefault="00747EBD" w:rsidP="00747EBD">
      <w:pPr>
        <w:spacing w:after="0"/>
        <w:jc w:val="both"/>
        <w:rPr>
          <w:rFonts w:ascii="Verdana" w:hAnsi="Verdana"/>
          <w:sz w:val="20"/>
          <w:szCs w:val="20"/>
        </w:rPr>
      </w:pPr>
    </w:p>
    <w:p w14:paraId="321753E6" w14:textId="77777777" w:rsidR="00CF0ADF" w:rsidRDefault="00747EBD" w:rsidP="00747EBD">
      <w:pPr>
        <w:pStyle w:val="Prrafodelista"/>
        <w:numPr>
          <w:ilvl w:val="0"/>
          <w:numId w:val="92"/>
        </w:numPr>
        <w:spacing w:after="0"/>
        <w:ind w:left="567" w:hanging="567"/>
        <w:jc w:val="both"/>
        <w:rPr>
          <w:rFonts w:ascii="Verdana" w:hAnsi="Verdana"/>
          <w:sz w:val="20"/>
          <w:szCs w:val="20"/>
        </w:rPr>
      </w:pPr>
      <w:r w:rsidRPr="00B30F7F">
        <w:rPr>
          <w:rFonts w:ascii="Verdana" w:hAnsi="Verdana"/>
          <w:sz w:val="20"/>
          <w:szCs w:val="20"/>
        </w:rPr>
        <w:t>El tamaño y los rangos de los límites internos de las exposiciones al RTILB, así como las coberturas y medidas adicionales de gestión adoptadas.</w:t>
      </w:r>
    </w:p>
    <w:p w14:paraId="79C4598D" w14:textId="77777777" w:rsidR="00CF0ADF" w:rsidRDefault="00CF0ADF" w:rsidP="00CF0ADF">
      <w:pPr>
        <w:pStyle w:val="Prrafodelista"/>
        <w:spacing w:after="0"/>
        <w:ind w:left="567"/>
        <w:jc w:val="both"/>
        <w:rPr>
          <w:rFonts w:ascii="Verdana" w:hAnsi="Verdana"/>
          <w:sz w:val="20"/>
          <w:szCs w:val="20"/>
        </w:rPr>
      </w:pPr>
    </w:p>
    <w:p w14:paraId="26C4EABD" w14:textId="77777777" w:rsidR="00CF0ADF" w:rsidRDefault="00747EBD" w:rsidP="00747EBD">
      <w:pPr>
        <w:pStyle w:val="Prrafodelista"/>
        <w:numPr>
          <w:ilvl w:val="0"/>
          <w:numId w:val="92"/>
        </w:numPr>
        <w:spacing w:after="0"/>
        <w:ind w:left="567" w:hanging="567"/>
        <w:jc w:val="both"/>
        <w:rPr>
          <w:rFonts w:ascii="Verdana" w:hAnsi="Verdana"/>
          <w:sz w:val="20"/>
          <w:szCs w:val="20"/>
        </w:rPr>
      </w:pPr>
      <w:r w:rsidRPr="00CF0ADF">
        <w:rPr>
          <w:rFonts w:ascii="Verdana" w:hAnsi="Verdana"/>
          <w:sz w:val="20"/>
          <w:szCs w:val="20"/>
        </w:rPr>
        <w:t>La efectividad y el costo esperado de cubrir las posiciones abiertas que están destinadas a aprovechar las expectativas internas del nivel futuro de las tasas de interés.</w:t>
      </w:r>
    </w:p>
    <w:p w14:paraId="6B6E2894" w14:textId="77777777" w:rsidR="00CF0ADF" w:rsidRPr="00CF0ADF" w:rsidRDefault="00CF0ADF" w:rsidP="00CF0ADF">
      <w:pPr>
        <w:pStyle w:val="Prrafodelista"/>
        <w:rPr>
          <w:rFonts w:ascii="Verdana" w:hAnsi="Verdana"/>
          <w:sz w:val="20"/>
          <w:szCs w:val="20"/>
        </w:rPr>
      </w:pPr>
    </w:p>
    <w:p w14:paraId="616C4217" w14:textId="77777777" w:rsidR="00CF0ADF" w:rsidRDefault="00747EBD" w:rsidP="00747EBD">
      <w:pPr>
        <w:pStyle w:val="Prrafodelista"/>
        <w:numPr>
          <w:ilvl w:val="0"/>
          <w:numId w:val="92"/>
        </w:numPr>
        <w:spacing w:after="0"/>
        <w:ind w:left="567" w:hanging="567"/>
        <w:jc w:val="both"/>
        <w:rPr>
          <w:rFonts w:ascii="Verdana" w:hAnsi="Verdana"/>
          <w:sz w:val="20"/>
          <w:szCs w:val="20"/>
        </w:rPr>
      </w:pPr>
      <w:r w:rsidRPr="00CF0ADF">
        <w:rPr>
          <w:rFonts w:ascii="Verdana" w:hAnsi="Verdana"/>
          <w:sz w:val="20"/>
          <w:szCs w:val="20"/>
        </w:rPr>
        <w:t>La sensibilidad de las medidas internas de RTILB a los supuestos clave del modelo.</w:t>
      </w:r>
    </w:p>
    <w:p w14:paraId="113050B0" w14:textId="77777777" w:rsidR="00CF0ADF" w:rsidRPr="00CF0ADF" w:rsidRDefault="00CF0ADF" w:rsidP="00CF0ADF">
      <w:pPr>
        <w:pStyle w:val="Prrafodelista"/>
        <w:rPr>
          <w:rFonts w:ascii="Verdana" w:hAnsi="Verdana"/>
          <w:sz w:val="20"/>
          <w:szCs w:val="20"/>
        </w:rPr>
      </w:pPr>
    </w:p>
    <w:p w14:paraId="6AFC4FFE" w14:textId="77777777" w:rsidR="00CF0ADF" w:rsidRDefault="00747EBD" w:rsidP="00747EBD">
      <w:pPr>
        <w:pStyle w:val="Prrafodelista"/>
        <w:numPr>
          <w:ilvl w:val="0"/>
          <w:numId w:val="92"/>
        </w:numPr>
        <w:spacing w:after="0"/>
        <w:ind w:left="567" w:hanging="567"/>
        <w:jc w:val="both"/>
        <w:rPr>
          <w:rFonts w:ascii="Verdana" w:hAnsi="Verdana"/>
          <w:sz w:val="20"/>
          <w:szCs w:val="20"/>
        </w:rPr>
      </w:pPr>
      <w:r w:rsidRPr="00CF0ADF">
        <w:rPr>
          <w:rFonts w:ascii="Verdana" w:hAnsi="Verdana"/>
          <w:sz w:val="20"/>
          <w:szCs w:val="20"/>
        </w:rPr>
        <w:t>El impacto de los escenarios de choque y estrés en las posiciones descontadas de diferentes índices de tasas de interés (riesgo de base).</w:t>
      </w:r>
    </w:p>
    <w:p w14:paraId="6C95AB7F" w14:textId="77777777" w:rsidR="00CF0ADF" w:rsidRPr="00CF0ADF" w:rsidRDefault="00CF0ADF" w:rsidP="00CF0ADF">
      <w:pPr>
        <w:pStyle w:val="Prrafodelista"/>
        <w:rPr>
          <w:rFonts w:ascii="Verdana" w:hAnsi="Verdana"/>
          <w:sz w:val="20"/>
          <w:szCs w:val="20"/>
        </w:rPr>
      </w:pPr>
    </w:p>
    <w:p w14:paraId="6AAF9C0B" w14:textId="77777777" w:rsidR="00CF0ADF" w:rsidRDefault="00747EBD" w:rsidP="00747EBD">
      <w:pPr>
        <w:pStyle w:val="Prrafodelista"/>
        <w:numPr>
          <w:ilvl w:val="0"/>
          <w:numId w:val="92"/>
        </w:numPr>
        <w:spacing w:after="0"/>
        <w:ind w:left="567" w:hanging="567"/>
        <w:jc w:val="both"/>
        <w:rPr>
          <w:rFonts w:ascii="Verdana" w:hAnsi="Verdana"/>
          <w:sz w:val="20"/>
          <w:szCs w:val="20"/>
        </w:rPr>
      </w:pPr>
      <w:r w:rsidRPr="00CF0ADF">
        <w:rPr>
          <w:rFonts w:ascii="Verdana" w:hAnsi="Verdana"/>
          <w:sz w:val="20"/>
          <w:szCs w:val="20"/>
        </w:rPr>
        <w:t>El impacto en el VEP y MNI de las posiciones descalzadas en diferentes monedas.</w:t>
      </w:r>
    </w:p>
    <w:p w14:paraId="6E024E86" w14:textId="77777777" w:rsidR="00CF0ADF" w:rsidRPr="00CF0ADF" w:rsidRDefault="00CF0ADF" w:rsidP="00CF0ADF">
      <w:pPr>
        <w:pStyle w:val="Prrafodelista"/>
        <w:rPr>
          <w:rFonts w:ascii="Verdana" w:hAnsi="Verdana"/>
          <w:sz w:val="20"/>
          <w:szCs w:val="20"/>
        </w:rPr>
      </w:pPr>
    </w:p>
    <w:p w14:paraId="734D863F" w14:textId="77777777" w:rsidR="00CF0ADF" w:rsidRDefault="00747EBD" w:rsidP="00747EBD">
      <w:pPr>
        <w:pStyle w:val="Prrafodelista"/>
        <w:numPr>
          <w:ilvl w:val="0"/>
          <w:numId w:val="92"/>
        </w:numPr>
        <w:spacing w:after="0"/>
        <w:ind w:left="567" w:hanging="567"/>
        <w:jc w:val="both"/>
        <w:rPr>
          <w:rFonts w:ascii="Verdana" w:hAnsi="Verdana"/>
          <w:sz w:val="20"/>
          <w:szCs w:val="20"/>
        </w:rPr>
      </w:pPr>
      <w:r w:rsidRPr="00CF0ADF">
        <w:rPr>
          <w:rFonts w:ascii="Verdana" w:hAnsi="Verdana"/>
          <w:sz w:val="20"/>
          <w:szCs w:val="20"/>
        </w:rPr>
        <w:t xml:space="preserve">El impacto de las pérdidas implícitas. </w:t>
      </w:r>
    </w:p>
    <w:p w14:paraId="00242251" w14:textId="77777777" w:rsidR="00CF0ADF" w:rsidRPr="00CF0ADF" w:rsidRDefault="00CF0ADF" w:rsidP="00CF0ADF">
      <w:pPr>
        <w:pStyle w:val="Prrafodelista"/>
        <w:rPr>
          <w:rFonts w:ascii="Verdana" w:hAnsi="Verdana"/>
          <w:sz w:val="20"/>
          <w:szCs w:val="20"/>
        </w:rPr>
      </w:pPr>
    </w:p>
    <w:p w14:paraId="195B7735" w14:textId="77777777" w:rsidR="00CF0ADF" w:rsidRDefault="00747EBD" w:rsidP="00747EBD">
      <w:pPr>
        <w:pStyle w:val="Prrafodelista"/>
        <w:numPr>
          <w:ilvl w:val="0"/>
          <w:numId w:val="92"/>
        </w:numPr>
        <w:spacing w:after="0"/>
        <w:ind w:left="567" w:hanging="567"/>
        <w:jc w:val="both"/>
        <w:rPr>
          <w:rFonts w:ascii="Verdana" w:hAnsi="Verdana"/>
          <w:sz w:val="20"/>
          <w:szCs w:val="20"/>
        </w:rPr>
      </w:pPr>
      <w:r w:rsidRPr="00CF0ADF">
        <w:rPr>
          <w:rFonts w:ascii="Verdana" w:hAnsi="Verdana"/>
          <w:sz w:val="20"/>
          <w:szCs w:val="20"/>
        </w:rPr>
        <w:t>La distribución del capital con relación a los riesgos de cada una de las entidades que hacen parte del grupo de entidades consolidadas a efectos de capital, además de la suficiencia del capital total en términos del consolidado.</w:t>
      </w:r>
    </w:p>
    <w:p w14:paraId="64F8DE4E" w14:textId="77777777" w:rsidR="00CF0ADF" w:rsidRPr="00CF0ADF" w:rsidRDefault="00CF0ADF" w:rsidP="00CF0ADF">
      <w:pPr>
        <w:pStyle w:val="Prrafodelista"/>
        <w:rPr>
          <w:rFonts w:ascii="Verdana" w:hAnsi="Verdana"/>
          <w:sz w:val="20"/>
          <w:szCs w:val="20"/>
        </w:rPr>
      </w:pPr>
    </w:p>
    <w:p w14:paraId="1EF4DBB8" w14:textId="154FD110" w:rsidR="006D3E13" w:rsidRPr="006D3E13" w:rsidRDefault="00747EBD" w:rsidP="006D3E13">
      <w:pPr>
        <w:pStyle w:val="Prrafodelista"/>
        <w:numPr>
          <w:ilvl w:val="0"/>
          <w:numId w:val="92"/>
        </w:numPr>
        <w:spacing w:after="0"/>
        <w:ind w:left="567" w:hanging="567"/>
        <w:jc w:val="both"/>
        <w:rPr>
          <w:rFonts w:ascii="Verdana" w:hAnsi="Verdana"/>
          <w:sz w:val="20"/>
          <w:szCs w:val="20"/>
        </w:rPr>
      </w:pPr>
      <w:r w:rsidRPr="00CF0ADF">
        <w:rPr>
          <w:rFonts w:ascii="Verdana" w:hAnsi="Verdana"/>
          <w:sz w:val="20"/>
          <w:szCs w:val="20"/>
        </w:rPr>
        <w:t>Los factores determinantes del riesgo subyacente y las circunstancias en que este podría materializarse.</w:t>
      </w:r>
    </w:p>
    <w:p w14:paraId="329DEA86" w14:textId="77777777" w:rsidR="006D3E13" w:rsidRDefault="006D3E13" w:rsidP="006D3E13">
      <w:pPr>
        <w:pStyle w:val="Prrafodelista"/>
        <w:ind w:left="567"/>
        <w:jc w:val="both"/>
        <w:rPr>
          <w:rFonts w:ascii="Verdana" w:hAnsi="Verdana"/>
          <w:b/>
          <w:bCs/>
          <w:sz w:val="20"/>
          <w:szCs w:val="20"/>
        </w:rPr>
      </w:pPr>
    </w:p>
    <w:p w14:paraId="6F3AF7DC" w14:textId="70512D63" w:rsidR="006D3E13" w:rsidRPr="009852C8" w:rsidRDefault="005E3EAD" w:rsidP="006D3E13">
      <w:pPr>
        <w:pStyle w:val="Prrafodelista"/>
        <w:numPr>
          <w:ilvl w:val="0"/>
          <w:numId w:val="6"/>
        </w:numPr>
        <w:ind w:left="567" w:hanging="283"/>
        <w:jc w:val="both"/>
        <w:rPr>
          <w:rFonts w:ascii="Verdana" w:hAnsi="Verdana"/>
          <w:b/>
          <w:bCs/>
          <w:sz w:val="20"/>
          <w:szCs w:val="20"/>
        </w:rPr>
      </w:pPr>
      <w:r w:rsidRPr="005E3EAD">
        <w:rPr>
          <w:rFonts w:ascii="Verdana" w:hAnsi="Verdana"/>
          <w:b/>
          <w:bCs/>
          <w:sz w:val="20"/>
          <w:szCs w:val="20"/>
        </w:rPr>
        <w:t>Prueba de valores atípicos</w:t>
      </w:r>
    </w:p>
    <w:p w14:paraId="4443A350" w14:textId="052A839B" w:rsidR="006D3E13" w:rsidRPr="0086035E" w:rsidRDefault="006D3E13" w:rsidP="006D3E13">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5E3EAD">
        <w:rPr>
          <w:rFonts w:ascii="Verdana" w:hAnsi="Verdana"/>
          <w:sz w:val="20"/>
          <w:szCs w:val="20"/>
        </w:rPr>
        <w:t>5</w:t>
      </w:r>
      <w:r w:rsidR="00CD417D">
        <w:rPr>
          <w:rFonts w:ascii="Verdana" w:hAnsi="Verdana"/>
          <w:sz w:val="20"/>
          <w:szCs w:val="20"/>
        </w:rPr>
        <w:t>5</w:t>
      </w:r>
      <w:r w:rsidRPr="0086035E">
        <w:rPr>
          <w:rFonts w:ascii="Verdana" w:hAnsi="Verdana"/>
          <w:sz w:val="20"/>
          <w:szCs w:val="20"/>
        </w:rPr>
        <w:t>.</w:t>
      </w:r>
    </w:p>
    <w:p w14:paraId="7BBD2213" w14:textId="3FF52C84" w:rsidR="006D3E13" w:rsidRPr="006D3E13" w:rsidRDefault="006D3E13" w:rsidP="006D3E13">
      <w:pPr>
        <w:autoSpaceDE w:val="0"/>
        <w:autoSpaceDN w:val="0"/>
        <w:adjustRightInd w:val="0"/>
        <w:jc w:val="both"/>
        <w:rPr>
          <w:rFonts w:ascii="Verdana" w:hAnsi="Verdana"/>
          <w:sz w:val="20"/>
          <w:szCs w:val="20"/>
        </w:rPr>
      </w:pPr>
      <w:r w:rsidRPr="006D3E13">
        <w:rPr>
          <w:rFonts w:ascii="Verdana" w:hAnsi="Verdana"/>
          <w:sz w:val="20"/>
          <w:szCs w:val="20"/>
        </w:rPr>
        <w:t xml:space="preserve">La prueba de valores atípicos compara el máximo ∆VEP calculado por la entidad bajo los escenarios de choque de tasas de interés descritos en </w:t>
      </w:r>
      <w:r w:rsidR="00F825D7">
        <w:rPr>
          <w:rFonts w:ascii="Verdana" w:hAnsi="Verdana"/>
          <w:sz w:val="20"/>
          <w:szCs w:val="20"/>
        </w:rPr>
        <w:t xml:space="preserve">los párrafos 1.1.A15.11. </w:t>
      </w:r>
      <w:r w:rsidR="00D31B65">
        <w:rPr>
          <w:rFonts w:ascii="Verdana" w:hAnsi="Verdana"/>
          <w:sz w:val="20"/>
          <w:szCs w:val="20"/>
        </w:rPr>
        <w:t>al</w:t>
      </w:r>
      <w:r w:rsidR="00F825D7">
        <w:rPr>
          <w:rFonts w:ascii="Verdana" w:hAnsi="Verdana"/>
          <w:sz w:val="20"/>
          <w:szCs w:val="20"/>
        </w:rPr>
        <w:t xml:space="preserve"> 1.1.A15.</w:t>
      </w:r>
      <w:r w:rsidR="003259B0">
        <w:rPr>
          <w:rFonts w:ascii="Verdana" w:hAnsi="Verdana"/>
          <w:sz w:val="20"/>
          <w:szCs w:val="20"/>
        </w:rPr>
        <w:t>34. de la CBF</w:t>
      </w:r>
      <w:r w:rsidRPr="006D3E13">
        <w:rPr>
          <w:rFonts w:ascii="Verdana" w:hAnsi="Verdana"/>
          <w:sz w:val="20"/>
          <w:szCs w:val="20"/>
        </w:rPr>
        <w:t>, frente al 15% de la suma del PBO y del PBA, vigentes para la fecha de reporte</w:t>
      </w:r>
      <w:r w:rsidR="008306A6">
        <w:rPr>
          <w:rFonts w:ascii="Verdana" w:hAnsi="Verdana"/>
          <w:sz w:val="20"/>
          <w:szCs w:val="20"/>
        </w:rPr>
        <w:t>,</w:t>
      </w:r>
      <w:r w:rsidRPr="006D3E13">
        <w:rPr>
          <w:rFonts w:ascii="Verdana" w:hAnsi="Verdana"/>
          <w:sz w:val="20"/>
          <w:szCs w:val="20"/>
        </w:rPr>
        <w:t xml:space="preserve"> en los términos del </w:t>
      </w:r>
      <w:r w:rsidR="00CE1C36">
        <w:rPr>
          <w:rFonts w:ascii="Verdana" w:hAnsi="Verdana"/>
          <w:sz w:val="20"/>
          <w:szCs w:val="20"/>
        </w:rPr>
        <w:t>capítulo 1 de la parte 2 de la CBF</w:t>
      </w:r>
      <w:r w:rsidRPr="006D3E13">
        <w:rPr>
          <w:rFonts w:ascii="Verdana" w:hAnsi="Verdana"/>
          <w:sz w:val="20"/>
          <w:szCs w:val="20"/>
        </w:rPr>
        <w:t>.</w:t>
      </w:r>
    </w:p>
    <w:p w14:paraId="05F2DFF0" w14:textId="77A98547" w:rsidR="00E73CE4" w:rsidRPr="0086035E" w:rsidRDefault="00E73CE4" w:rsidP="00E73CE4">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2767AA">
        <w:rPr>
          <w:rFonts w:ascii="Verdana" w:hAnsi="Verdana"/>
          <w:sz w:val="20"/>
          <w:szCs w:val="20"/>
        </w:rPr>
        <w:t>5</w:t>
      </w:r>
      <w:r w:rsidR="00CD417D">
        <w:rPr>
          <w:rFonts w:ascii="Verdana" w:hAnsi="Verdana"/>
          <w:sz w:val="20"/>
          <w:szCs w:val="20"/>
        </w:rPr>
        <w:t>6</w:t>
      </w:r>
      <w:r w:rsidRPr="0086035E">
        <w:rPr>
          <w:rFonts w:ascii="Verdana" w:hAnsi="Verdana"/>
          <w:sz w:val="20"/>
          <w:szCs w:val="20"/>
        </w:rPr>
        <w:t>.</w:t>
      </w:r>
    </w:p>
    <w:p w14:paraId="7DC439A6" w14:textId="77777777" w:rsidR="0073694D" w:rsidRDefault="0073694D" w:rsidP="0073694D">
      <w:pPr>
        <w:jc w:val="both"/>
        <w:rPr>
          <w:rFonts w:ascii="Verdana" w:hAnsi="Verdana"/>
          <w:sz w:val="20"/>
          <w:szCs w:val="20"/>
        </w:rPr>
      </w:pPr>
      <w:r w:rsidRPr="0073694D">
        <w:rPr>
          <w:rFonts w:ascii="Verdana" w:hAnsi="Verdana"/>
          <w:sz w:val="20"/>
          <w:szCs w:val="20"/>
        </w:rPr>
        <w:t>Cuando la entidad supere este límite deberá:</w:t>
      </w:r>
    </w:p>
    <w:p w14:paraId="602874C0" w14:textId="6211B286" w:rsidR="007A4233" w:rsidRDefault="00C424BA" w:rsidP="007A4233">
      <w:pPr>
        <w:pStyle w:val="Prrafodelista"/>
        <w:numPr>
          <w:ilvl w:val="0"/>
          <w:numId w:val="93"/>
        </w:numPr>
        <w:ind w:left="567" w:hanging="567"/>
        <w:jc w:val="both"/>
        <w:rPr>
          <w:rFonts w:ascii="Verdana" w:hAnsi="Verdana"/>
          <w:sz w:val="20"/>
          <w:szCs w:val="20"/>
        </w:rPr>
      </w:pPr>
      <w:r w:rsidRPr="00C424BA">
        <w:rPr>
          <w:rFonts w:ascii="Verdana" w:hAnsi="Verdana"/>
          <w:sz w:val="20"/>
          <w:szCs w:val="20"/>
        </w:rPr>
        <w:t xml:space="preserve">Informarlo a esta Superintendencia, adjuntando el análisis de riesgo que demuestre que la entidad cuenta con utilidades y capacidad patrimonial suficientes </w:t>
      </w:r>
      <w:r w:rsidRPr="00C424BA">
        <w:rPr>
          <w:rFonts w:ascii="Verdana" w:hAnsi="Verdana"/>
          <w:sz w:val="20"/>
          <w:szCs w:val="20"/>
        </w:rPr>
        <w:lastRenderedPageBreak/>
        <w:t>para afrontar la mayor exposición al RTILB a corto y largo plazo, así como los efectos que el mayor nivel de exposición pueda tener sobre su desempeño financiero futuro.</w:t>
      </w:r>
    </w:p>
    <w:p w14:paraId="13A1A2BC" w14:textId="77777777" w:rsidR="007A4233" w:rsidRDefault="007A4233" w:rsidP="007A4233">
      <w:pPr>
        <w:pStyle w:val="Prrafodelista"/>
        <w:ind w:left="567"/>
        <w:jc w:val="both"/>
        <w:rPr>
          <w:rFonts w:ascii="Verdana" w:hAnsi="Verdana"/>
          <w:sz w:val="20"/>
          <w:szCs w:val="20"/>
        </w:rPr>
      </w:pPr>
    </w:p>
    <w:p w14:paraId="57526F1B" w14:textId="035BB258" w:rsidR="00C424BA" w:rsidRPr="007A4233" w:rsidRDefault="00C424BA" w:rsidP="007A4233">
      <w:pPr>
        <w:pStyle w:val="Prrafodelista"/>
        <w:numPr>
          <w:ilvl w:val="0"/>
          <w:numId w:val="93"/>
        </w:numPr>
        <w:ind w:left="567" w:hanging="567"/>
        <w:jc w:val="both"/>
        <w:rPr>
          <w:rFonts w:ascii="Verdana" w:hAnsi="Verdana"/>
          <w:sz w:val="20"/>
          <w:szCs w:val="20"/>
        </w:rPr>
      </w:pPr>
      <w:r w:rsidRPr="007A4233">
        <w:rPr>
          <w:rFonts w:ascii="Verdana" w:hAnsi="Verdana"/>
          <w:sz w:val="20"/>
          <w:szCs w:val="20"/>
        </w:rPr>
        <w:t xml:space="preserve">Cuando la entidad prevea que no podrá cumplir con los criterios antes señalados, o </w:t>
      </w:r>
      <w:r w:rsidR="00C6139B">
        <w:rPr>
          <w:rFonts w:ascii="Verdana" w:hAnsi="Verdana"/>
          <w:sz w:val="20"/>
          <w:szCs w:val="20"/>
        </w:rPr>
        <w:t xml:space="preserve">cuando </w:t>
      </w:r>
      <w:r w:rsidRPr="007A4233">
        <w:rPr>
          <w:rFonts w:ascii="Verdana" w:hAnsi="Verdana"/>
          <w:sz w:val="20"/>
          <w:szCs w:val="20"/>
        </w:rPr>
        <w:t>la SFC así lo requiera, deberá remitir a esta Superintendencia un plan de ajuste mediante el cual adopte alguna de las siguientes medidas, para mitigar el impacto de la mayor exposición al RTILB:</w:t>
      </w:r>
    </w:p>
    <w:p w14:paraId="792BCD7E" w14:textId="20FB4A2F" w:rsidR="00176548" w:rsidRDefault="00176548" w:rsidP="00176548">
      <w:pPr>
        <w:pStyle w:val="Prrafodelista"/>
        <w:ind w:left="1134"/>
        <w:jc w:val="both"/>
        <w:rPr>
          <w:rFonts w:ascii="Verdana" w:hAnsi="Verdana"/>
          <w:sz w:val="20"/>
          <w:szCs w:val="20"/>
        </w:rPr>
      </w:pPr>
    </w:p>
    <w:p w14:paraId="4A731F83" w14:textId="77777777" w:rsidR="00176548" w:rsidRDefault="00176548" w:rsidP="00176548">
      <w:pPr>
        <w:pStyle w:val="Prrafodelista"/>
        <w:numPr>
          <w:ilvl w:val="0"/>
          <w:numId w:val="94"/>
        </w:numPr>
        <w:ind w:left="1134" w:hanging="567"/>
        <w:jc w:val="both"/>
        <w:rPr>
          <w:rFonts w:ascii="Verdana" w:hAnsi="Verdana"/>
          <w:sz w:val="20"/>
          <w:szCs w:val="20"/>
        </w:rPr>
      </w:pPr>
      <w:r w:rsidRPr="00176548">
        <w:rPr>
          <w:rFonts w:ascii="Verdana" w:hAnsi="Verdana"/>
          <w:sz w:val="20"/>
          <w:szCs w:val="20"/>
        </w:rPr>
        <w:t>Reducir sus exposiciones al RTILB, por ejemplo: mediante coberturas.</w:t>
      </w:r>
    </w:p>
    <w:p w14:paraId="5D3E3EF0" w14:textId="77777777" w:rsidR="00176548" w:rsidRDefault="00176548" w:rsidP="00176548">
      <w:pPr>
        <w:pStyle w:val="Prrafodelista"/>
        <w:ind w:left="1134"/>
        <w:jc w:val="both"/>
        <w:rPr>
          <w:rFonts w:ascii="Verdana" w:hAnsi="Verdana"/>
          <w:sz w:val="20"/>
          <w:szCs w:val="20"/>
        </w:rPr>
      </w:pPr>
    </w:p>
    <w:p w14:paraId="1B77A74F" w14:textId="77777777" w:rsidR="00176548" w:rsidRDefault="00176548" w:rsidP="00176548">
      <w:pPr>
        <w:pStyle w:val="Prrafodelista"/>
        <w:numPr>
          <w:ilvl w:val="0"/>
          <w:numId w:val="94"/>
        </w:numPr>
        <w:ind w:left="1134" w:hanging="567"/>
        <w:jc w:val="both"/>
        <w:rPr>
          <w:rFonts w:ascii="Verdana" w:hAnsi="Verdana"/>
          <w:sz w:val="20"/>
          <w:szCs w:val="20"/>
        </w:rPr>
      </w:pPr>
      <w:r w:rsidRPr="00176548">
        <w:rPr>
          <w:rFonts w:ascii="Verdana" w:hAnsi="Verdana"/>
          <w:sz w:val="20"/>
          <w:szCs w:val="20"/>
        </w:rPr>
        <w:t>Establecer restricciones sobre los parámetros de riesgo internos utilizados.</w:t>
      </w:r>
    </w:p>
    <w:p w14:paraId="585A3865" w14:textId="77777777" w:rsidR="00176548" w:rsidRPr="00176548" w:rsidRDefault="00176548" w:rsidP="00176548">
      <w:pPr>
        <w:pStyle w:val="Prrafodelista"/>
        <w:rPr>
          <w:rFonts w:ascii="Verdana" w:hAnsi="Verdana"/>
          <w:sz w:val="20"/>
          <w:szCs w:val="20"/>
        </w:rPr>
      </w:pPr>
    </w:p>
    <w:p w14:paraId="0996D0EA" w14:textId="77777777" w:rsidR="00E94C8F" w:rsidRDefault="00176548" w:rsidP="00176548">
      <w:pPr>
        <w:pStyle w:val="Prrafodelista"/>
        <w:numPr>
          <w:ilvl w:val="0"/>
          <w:numId w:val="94"/>
        </w:numPr>
        <w:ind w:left="1134" w:hanging="567"/>
        <w:jc w:val="both"/>
        <w:rPr>
          <w:rFonts w:ascii="Verdana" w:hAnsi="Verdana"/>
          <w:sz w:val="20"/>
          <w:szCs w:val="20"/>
        </w:rPr>
      </w:pPr>
      <w:r w:rsidRPr="00176548">
        <w:rPr>
          <w:rFonts w:ascii="Verdana" w:hAnsi="Verdana"/>
          <w:sz w:val="20"/>
          <w:szCs w:val="20"/>
        </w:rPr>
        <w:t>Mejorar su marco de gestión de riesgos.</w:t>
      </w:r>
    </w:p>
    <w:p w14:paraId="79D959A7" w14:textId="77777777" w:rsidR="00E94C8F" w:rsidRPr="00E94C8F" w:rsidRDefault="00E94C8F" w:rsidP="00E94C8F">
      <w:pPr>
        <w:pStyle w:val="Prrafodelista"/>
        <w:rPr>
          <w:rFonts w:ascii="Verdana" w:hAnsi="Verdana"/>
          <w:sz w:val="20"/>
          <w:szCs w:val="20"/>
        </w:rPr>
      </w:pPr>
    </w:p>
    <w:p w14:paraId="7D61AC17" w14:textId="77777777" w:rsidR="00E94C8F" w:rsidRDefault="00176548" w:rsidP="00176548">
      <w:pPr>
        <w:pStyle w:val="Prrafodelista"/>
        <w:numPr>
          <w:ilvl w:val="0"/>
          <w:numId w:val="94"/>
        </w:numPr>
        <w:ind w:left="1134" w:hanging="567"/>
        <w:jc w:val="both"/>
        <w:rPr>
          <w:rFonts w:ascii="Verdana" w:hAnsi="Verdana"/>
          <w:sz w:val="20"/>
          <w:szCs w:val="20"/>
        </w:rPr>
      </w:pPr>
      <w:r w:rsidRPr="00176548">
        <w:rPr>
          <w:rFonts w:ascii="Verdana" w:hAnsi="Verdana"/>
          <w:sz w:val="20"/>
          <w:szCs w:val="20"/>
        </w:rPr>
        <w:t xml:space="preserve">Evaluar el incremento de los recursos de capital. </w:t>
      </w:r>
    </w:p>
    <w:p w14:paraId="2713E38C" w14:textId="77777777" w:rsidR="00E94C8F" w:rsidRPr="00E94C8F" w:rsidRDefault="00E94C8F" w:rsidP="00E94C8F">
      <w:pPr>
        <w:pStyle w:val="Prrafodelista"/>
        <w:rPr>
          <w:rFonts w:ascii="Verdana" w:hAnsi="Verdana"/>
          <w:sz w:val="20"/>
          <w:szCs w:val="20"/>
        </w:rPr>
      </w:pPr>
    </w:p>
    <w:p w14:paraId="2B3E0F77" w14:textId="54F6F4A9" w:rsidR="0073694D" w:rsidRPr="00E94C8F" w:rsidRDefault="00176548" w:rsidP="00176548">
      <w:pPr>
        <w:pStyle w:val="Prrafodelista"/>
        <w:numPr>
          <w:ilvl w:val="0"/>
          <w:numId w:val="94"/>
        </w:numPr>
        <w:ind w:left="1134" w:hanging="567"/>
        <w:jc w:val="both"/>
        <w:rPr>
          <w:rFonts w:ascii="Verdana" w:hAnsi="Verdana"/>
          <w:sz w:val="20"/>
          <w:szCs w:val="20"/>
        </w:rPr>
      </w:pPr>
      <w:r w:rsidRPr="00E94C8F">
        <w:rPr>
          <w:rFonts w:ascii="Verdana" w:hAnsi="Verdana"/>
          <w:sz w:val="20"/>
          <w:szCs w:val="20"/>
        </w:rPr>
        <w:t xml:space="preserve">Adoptar otra </w:t>
      </w:r>
      <w:r w:rsidR="002B0996">
        <w:rPr>
          <w:rFonts w:ascii="Verdana" w:hAnsi="Verdana"/>
          <w:sz w:val="20"/>
          <w:szCs w:val="20"/>
        </w:rPr>
        <w:t xml:space="preserve">medida </w:t>
      </w:r>
      <w:r w:rsidRPr="00E94C8F">
        <w:rPr>
          <w:rFonts w:ascii="Verdana" w:hAnsi="Verdana"/>
          <w:sz w:val="20"/>
          <w:szCs w:val="20"/>
        </w:rPr>
        <w:t>que le permita mitigar el RTILB.</w:t>
      </w:r>
    </w:p>
    <w:p w14:paraId="1159C3D4" w14:textId="45875313" w:rsidR="00B1789D" w:rsidRPr="00B1789D" w:rsidRDefault="00B1789D" w:rsidP="00B1789D">
      <w:pPr>
        <w:jc w:val="both"/>
        <w:rPr>
          <w:rFonts w:ascii="Verdana" w:hAnsi="Verdana"/>
          <w:b/>
          <w:bCs/>
          <w:sz w:val="20"/>
          <w:szCs w:val="20"/>
        </w:rPr>
      </w:pPr>
      <w:r>
        <w:rPr>
          <w:rFonts w:ascii="Verdana" w:hAnsi="Verdana"/>
          <w:b/>
          <w:bCs/>
          <w:sz w:val="20"/>
          <w:szCs w:val="20"/>
        </w:rPr>
        <w:t>Control</w:t>
      </w:r>
    </w:p>
    <w:p w14:paraId="3BBA5F87" w14:textId="4B9BE881" w:rsidR="00B1789D" w:rsidRPr="00B1789D" w:rsidRDefault="00B1789D" w:rsidP="00B1789D">
      <w:pPr>
        <w:spacing w:after="0"/>
        <w:jc w:val="both"/>
        <w:rPr>
          <w:rFonts w:ascii="Verdana" w:hAnsi="Verdana"/>
          <w:sz w:val="20"/>
          <w:szCs w:val="20"/>
        </w:rPr>
      </w:pPr>
      <w:r w:rsidRPr="00B1789D">
        <w:rPr>
          <w:rFonts w:ascii="Verdana" w:hAnsi="Verdana"/>
          <w:sz w:val="20"/>
          <w:szCs w:val="20"/>
        </w:rPr>
        <w:t>1.1.2.3</w:t>
      </w:r>
      <w:r>
        <w:rPr>
          <w:rFonts w:ascii="Verdana" w:hAnsi="Verdana"/>
          <w:sz w:val="20"/>
          <w:szCs w:val="20"/>
        </w:rPr>
        <w:t>5</w:t>
      </w:r>
      <w:r w:rsidR="00CD417D">
        <w:rPr>
          <w:rFonts w:ascii="Verdana" w:hAnsi="Verdana"/>
          <w:sz w:val="20"/>
          <w:szCs w:val="20"/>
        </w:rPr>
        <w:t>7</w:t>
      </w:r>
      <w:r w:rsidRPr="00B1789D">
        <w:rPr>
          <w:rFonts w:ascii="Verdana" w:hAnsi="Verdana"/>
          <w:sz w:val="20"/>
          <w:szCs w:val="20"/>
        </w:rPr>
        <w:t>.</w:t>
      </w:r>
    </w:p>
    <w:p w14:paraId="4F676A14" w14:textId="228E6F2D" w:rsidR="00B1789D" w:rsidRPr="00B1789D" w:rsidRDefault="008F77DD" w:rsidP="00B1789D">
      <w:pPr>
        <w:jc w:val="both"/>
        <w:rPr>
          <w:rFonts w:ascii="Verdana" w:hAnsi="Verdana"/>
          <w:sz w:val="20"/>
          <w:szCs w:val="20"/>
        </w:rPr>
      </w:pPr>
      <w:r w:rsidRPr="008F77DD">
        <w:rPr>
          <w:rFonts w:ascii="Verdana" w:hAnsi="Verdana"/>
          <w:sz w:val="20"/>
          <w:szCs w:val="20"/>
        </w:rPr>
        <w:t>La entidad debe diseñar y adoptar medidas para controlar el RTILB al que se ve expuesta en el desarrollo de sus operaciones</w:t>
      </w:r>
      <w:r w:rsidR="004E4FB6">
        <w:rPr>
          <w:rFonts w:ascii="Verdana" w:hAnsi="Verdana"/>
          <w:sz w:val="20"/>
          <w:szCs w:val="20"/>
        </w:rPr>
        <w:t>,</w:t>
      </w:r>
      <w:r w:rsidRPr="008F77DD">
        <w:rPr>
          <w:rFonts w:ascii="Verdana" w:hAnsi="Verdana"/>
          <w:sz w:val="20"/>
          <w:szCs w:val="20"/>
        </w:rPr>
        <w:t xml:space="preserve"> para lo cual debe cumplir con los siguientes requisitos:</w:t>
      </w:r>
    </w:p>
    <w:p w14:paraId="25A9DC59" w14:textId="77777777" w:rsidR="00103F59" w:rsidRDefault="00B70841" w:rsidP="00B70841">
      <w:pPr>
        <w:pStyle w:val="Prrafodelista"/>
        <w:numPr>
          <w:ilvl w:val="0"/>
          <w:numId w:val="95"/>
        </w:numPr>
        <w:ind w:left="567" w:hanging="567"/>
        <w:jc w:val="both"/>
        <w:rPr>
          <w:rFonts w:ascii="Verdana" w:hAnsi="Verdana"/>
          <w:sz w:val="20"/>
          <w:szCs w:val="20"/>
        </w:rPr>
      </w:pPr>
      <w:r w:rsidRPr="00B70841">
        <w:rPr>
          <w:rFonts w:ascii="Verdana" w:hAnsi="Verdana"/>
          <w:sz w:val="20"/>
          <w:szCs w:val="20"/>
        </w:rPr>
        <w:t>Incluir un análisis prospectivo, de tal manera que le permita anticiparse y prepararse para la mitigación del riesgo.</w:t>
      </w:r>
    </w:p>
    <w:p w14:paraId="71A9565F" w14:textId="77777777" w:rsidR="00103F59" w:rsidRDefault="00103F59" w:rsidP="00103F59">
      <w:pPr>
        <w:pStyle w:val="Prrafodelista"/>
        <w:ind w:left="567"/>
        <w:jc w:val="both"/>
        <w:rPr>
          <w:rFonts w:ascii="Verdana" w:hAnsi="Verdana"/>
          <w:sz w:val="20"/>
          <w:szCs w:val="20"/>
        </w:rPr>
      </w:pPr>
    </w:p>
    <w:p w14:paraId="066DA311" w14:textId="77777777" w:rsidR="00103F59" w:rsidRDefault="00B70841" w:rsidP="00B70841">
      <w:pPr>
        <w:pStyle w:val="Prrafodelista"/>
        <w:numPr>
          <w:ilvl w:val="0"/>
          <w:numId w:val="95"/>
        </w:numPr>
        <w:ind w:left="567" w:hanging="567"/>
        <w:jc w:val="both"/>
        <w:rPr>
          <w:rFonts w:ascii="Verdana" w:hAnsi="Verdana"/>
          <w:sz w:val="20"/>
          <w:szCs w:val="20"/>
        </w:rPr>
      </w:pPr>
      <w:r w:rsidRPr="00103F59">
        <w:rPr>
          <w:rFonts w:ascii="Verdana" w:hAnsi="Verdana"/>
          <w:sz w:val="20"/>
          <w:szCs w:val="20"/>
        </w:rPr>
        <w:t>Implementar medidas proporcionales al volumen y complejidad de las operaciones desarrolladas, de forma tal que exista correspondencia entre el modelo y dichas operaciones.</w:t>
      </w:r>
    </w:p>
    <w:p w14:paraId="37157754" w14:textId="77777777" w:rsidR="00103F59" w:rsidRPr="00103F59" w:rsidRDefault="00103F59" w:rsidP="00103F59">
      <w:pPr>
        <w:pStyle w:val="Prrafodelista"/>
        <w:rPr>
          <w:rFonts w:ascii="Verdana" w:hAnsi="Verdana"/>
          <w:sz w:val="20"/>
          <w:szCs w:val="20"/>
        </w:rPr>
      </w:pPr>
    </w:p>
    <w:p w14:paraId="5CF08BFB" w14:textId="77777777" w:rsidR="00103F59" w:rsidRDefault="00B70841" w:rsidP="00B70841">
      <w:pPr>
        <w:pStyle w:val="Prrafodelista"/>
        <w:numPr>
          <w:ilvl w:val="0"/>
          <w:numId w:val="95"/>
        </w:numPr>
        <w:ind w:left="567" w:hanging="567"/>
        <w:jc w:val="both"/>
        <w:rPr>
          <w:rFonts w:ascii="Verdana" w:hAnsi="Verdana"/>
          <w:sz w:val="20"/>
          <w:szCs w:val="20"/>
        </w:rPr>
      </w:pPr>
      <w:r w:rsidRPr="00103F59">
        <w:rPr>
          <w:rFonts w:ascii="Verdana" w:hAnsi="Verdana"/>
          <w:sz w:val="20"/>
          <w:szCs w:val="20"/>
        </w:rPr>
        <w:t>Considerar la estrategia y apetito de riesgo, las prácticas generales de transacción, y las condiciones de las economías y mercados donde opera.</w:t>
      </w:r>
    </w:p>
    <w:p w14:paraId="1336F640" w14:textId="77777777" w:rsidR="00103F59" w:rsidRPr="00103F59" w:rsidRDefault="00103F59" w:rsidP="00103F59">
      <w:pPr>
        <w:pStyle w:val="Prrafodelista"/>
        <w:rPr>
          <w:rFonts w:ascii="Verdana" w:hAnsi="Verdana"/>
          <w:sz w:val="20"/>
          <w:szCs w:val="20"/>
        </w:rPr>
      </w:pPr>
    </w:p>
    <w:p w14:paraId="5A2C95CA" w14:textId="77777777" w:rsidR="00103F59" w:rsidRDefault="00B70841" w:rsidP="00B70841">
      <w:pPr>
        <w:pStyle w:val="Prrafodelista"/>
        <w:numPr>
          <w:ilvl w:val="0"/>
          <w:numId w:val="95"/>
        </w:numPr>
        <w:ind w:left="567" w:hanging="567"/>
        <w:jc w:val="both"/>
        <w:rPr>
          <w:rFonts w:ascii="Verdana" w:hAnsi="Verdana"/>
          <w:sz w:val="20"/>
          <w:szCs w:val="20"/>
        </w:rPr>
      </w:pPr>
      <w:r w:rsidRPr="00103F59">
        <w:rPr>
          <w:rFonts w:ascii="Verdana" w:hAnsi="Verdana"/>
          <w:sz w:val="20"/>
          <w:szCs w:val="20"/>
        </w:rPr>
        <w:t>Evaluar y adoptar los elementos de cobertura frente a las posiciones expuestas a este riesgo.</w:t>
      </w:r>
    </w:p>
    <w:p w14:paraId="7B7B4FA7" w14:textId="77777777" w:rsidR="00103F59" w:rsidRPr="00103F59" w:rsidRDefault="00103F59" w:rsidP="00103F59">
      <w:pPr>
        <w:pStyle w:val="Prrafodelista"/>
        <w:rPr>
          <w:rFonts w:ascii="Verdana" w:hAnsi="Verdana"/>
          <w:sz w:val="20"/>
          <w:szCs w:val="20"/>
        </w:rPr>
      </w:pPr>
    </w:p>
    <w:p w14:paraId="11CBE449" w14:textId="73A9F518" w:rsidR="00B1789D" w:rsidRPr="00103F59" w:rsidRDefault="00B70841" w:rsidP="00B70841">
      <w:pPr>
        <w:pStyle w:val="Prrafodelista"/>
        <w:numPr>
          <w:ilvl w:val="0"/>
          <w:numId w:val="95"/>
        </w:numPr>
        <w:ind w:left="567" w:hanging="567"/>
        <w:jc w:val="both"/>
        <w:rPr>
          <w:rFonts w:ascii="Verdana" w:hAnsi="Verdana"/>
          <w:sz w:val="20"/>
          <w:szCs w:val="20"/>
        </w:rPr>
      </w:pPr>
      <w:r w:rsidRPr="00103F59">
        <w:rPr>
          <w:rFonts w:ascii="Verdana" w:hAnsi="Verdana"/>
          <w:sz w:val="20"/>
          <w:szCs w:val="20"/>
        </w:rPr>
        <w:t>Contar con la evaluación de un experto independiente.</w:t>
      </w:r>
    </w:p>
    <w:p w14:paraId="5C9AD3BF" w14:textId="42AB3867" w:rsidR="00103F59" w:rsidRPr="00103F59" w:rsidRDefault="00103F59" w:rsidP="00103F59">
      <w:pPr>
        <w:jc w:val="both"/>
        <w:rPr>
          <w:rFonts w:ascii="Verdana" w:hAnsi="Verdana"/>
          <w:b/>
          <w:bCs/>
          <w:sz w:val="20"/>
          <w:szCs w:val="20"/>
        </w:rPr>
      </w:pPr>
      <w:r>
        <w:rPr>
          <w:rFonts w:ascii="Verdana" w:hAnsi="Verdana"/>
          <w:b/>
          <w:bCs/>
          <w:sz w:val="20"/>
          <w:szCs w:val="20"/>
        </w:rPr>
        <w:t>Monitoreo</w:t>
      </w:r>
    </w:p>
    <w:p w14:paraId="3ABA39DA" w14:textId="4C100C8E" w:rsidR="00103F59" w:rsidRPr="00103F59" w:rsidRDefault="00103F59" w:rsidP="00103F59">
      <w:pPr>
        <w:spacing w:after="0"/>
        <w:jc w:val="both"/>
        <w:rPr>
          <w:rFonts w:ascii="Verdana" w:hAnsi="Verdana"/>
          <w:sz w:val="20"/>
          <w:szCs w:val="20"/>
        </w:rPr>
      </w:pPr>
      <w:r w:rsidRPr="00103F59">
        <w:rPr>
          <w:rFonts w:ascii="Verdana" w:hAnsi="Verdana"/>
          <w:sz w:val="20"/>
          <w:szCs w:val="20"/>
        </w:rPr>
        <w:t>1.1.2.35</w:t>
      </w:r>
      <w:r w:rsidR="00CD417D">
        <w:rPr>
          <w:rFonts w:ascii="Verdana" w:hAnsi="Verdana"/>
          <w:sz w:val="20"/>
          <w:szCs w:val="20"/>
        </w:rPr>
        <w:t>8</w:t>
      </w:r>
      <w:r w:rsidRPr="00103F59">
        <w:rPr>
          <w:rFonts w:ascii="Verdana" w:hAnsi="Verdana"/>
          <w:sz w:val="20"/>
          <w:szCs w:val="20"/>
        </w:rPr>
        <w:t>.</w:t>
      </w:r>
    </w:p>
    <w:p w14:paraId="1D68E80C" w14:textId="588EBDD3" w:rsidR="00103F59" w:rsidRDefault="00E8423E" w:rsidP="00103F59">
      <w:pPr>
        <w:jc w:val="both"/>
        <w:rPr>
          <w:rFonts w:ascii="Verdana" w:hAnsi="Verdana"/>
          <w:sz w:val="20"/>
          <w:szCs w:val="20"/>
        </w:rPr>
      </w:pPr>
      <w:r w:rsidRPr="00E8423E">
        <w:rPr>
          <w:rFonts w:ascii="Verdana" w:hAnsi="Verdana"/>
          <w:sz w:val="20"/>
          <w:szCs w:val="20"/>
        </w:rPr>
        <w:t>Los lineamientos y procedimientos que establezca la entidad deben permitirle un seguimiento de su exposición al RTILB. El monitoreo debe cumplir como mínimo con los siguientes requisitos</w:t>
      </w:r>
      <w:r>
        <w:rPr>
          <w:rFonts w:ascii="Verdana" w:hAnsi="Verdana"/>
          <w:sz w:val="20"/>
          <w:szCs w:val="20"/>
        </w:rPr>
        <w:t>:</w:t>
      </w:r>
    </w:p>
    <w:p w14:paraId="00E984BD" w14:textId="77777777" w:rsidR="006F43C4" w:rsidRDefault="006F43C4" w:rsidP="006F43C4">
      <w:pPr>
        <w:pStyle w:val="Prrafodelista"/>
        <w:numPr>
          <w:ilvl w:val="0"/>
          <w:numId w:val="96"/>
        </w:numPr>
        <w:ind w:left="567" w:hanging="567"/>
        <w:jc w:val="both"/>
        <w:rPr>
          <w:rFonts w:ascii="Verdana" w:hAnsi="Verdana"/>
          <w:sz w:val="20"/>
          <w:szCs w:val="20"/>
        </w:rPr>
      </w:pPr>
      <w:r w:rsidRPr="006F43C4">
        <w:rPr>
          <w:rFonts w:ascii="Verdana" w:hAnsi="Verdana"/>
          <w:sz w:val="20"/>
          <w:szCs w:val="20"/>
        </w:rPr>
        <w:t>Guardar correspondencia con el volumen y complejidad de las operaciones desarrolladas por la entidad.</w:t>
      </w:r>
    </w:p>
    <w:p w14:paraId="27795B9C" w14:textId="77777777" w:rsidR="006F43C4" w:rsidRDefault="006F43C4" w:rsidP="006F43C4">
      <w:pPr>
        <w:pStyle w:val="Prrafodelista"/>
        <w:ind w:left="567"/>
        <w:jc w:val="both"/>
        <w:rPr>
          <w:rFonts w:ascii="Verdana" w:hAnsi="Verdana"/>
          <w:sz w:val="20"/>
          <w:szCs w:val="20"/>
        </w:rPr>
      </w:pPr>
    </w:p>
    <w:p w14:paraId="64484645" w14:textId="77777777" w:rsidR="006F43C4" w:rsidRDefault="006F43C4" w:rsidP="006F43C4">
      <w:pPr>
        <w:pStyle w:val="Prrafodelista"/>
        <w:numPr>
          <w:ilvl w:val="0"/>
          <w:numId w:val="96"/>
        </w:numPr>
        <w:ind w:left="567" w:hanging="567"/>
        <w:jc w:val="both"/>
        <w:rPr>
          <w:rFonts w:ascii="Verdana" w:hAnsi="Verdana"/>
          <w:sz w:val="20"/>
          <w:szCs w:val="20"/>
        </w:rPr>
      </w:pPr>
      <w:r w:rsidRPr="006F43C4">
        <w:rPr>
          <w:rFonts w:ascii="Verdana" w:hAnsi="Verdana"/>
          <w:sz w:val="20"/>
          <w:szCs w:val="20"/>
        </w:rPr>
        <w:t>Capturar datos del RTILB sobre todas las exposiciones significativas de la entidad, incluidas las exposiciones al riesgo de brecha, base y opcionalidad.</w:t>
      </w:r>
    </w:p>
    <w:p w14:paraId="43BCBEAD" w14:textId="77777777" w:rsidR="006F43C4" w:rsidRPr="006F43C4" w:rsidRDefault="006F43C4" w:rsidP="006F43C4">
      <w:pPr>
        <w:pStyle w:val="Prrafodelista"/>
        <w:rPr>
          <w:rFonts w:ascii="Verdana" w:hAnsi="Verdana"/>
          <w:sz w:val="20"/>
          <w:szCs w:val="20"/>
        </w:rPr>
      </w:pPr>
    </w:p>
    <w:p w14:paraId="159FA388" w14:textId="77777777" w:rsidR="006F43C4" w:rsidRDefault="006F43C4" w:rsidP="006F43C4">
      <w:pPr>
        <w:pStyle w:val="Prrafodelista"/>
        <w:numPr>
          <w:ilvl w:val="0"/>
          <w:numId w:val="96"/>
        </w:numPr>
        <w:ind w:left="567" w:hanging="567"/>
        <w:jc w:val="both"/>
        <w:rPr>
          <w:rFonts w:ascii="Verdana" w:hAnsi="Verdana"/>
          <w:sz w:val="20"/>
          <w:szCs w:val="20"/>
        </w:rPr>
      </w:pPr>
      <w:r w:rsidRPr="006F43C4">
        <w:rPr>
          <w:rFonts w:ascii="Verdana" w:hAnsi="Verdana"/>
          <w:sz w:val="20"/>
          <w:szCs w:val="20"/>
        </w:rPr>
        <w:t>Permitir el seguimiento de los límites y niveles de exposición al RTILB a nivel individual y consolidado.</w:t>
      </w:r>
    </w:p>
    <w:p w14:paraId="28514A3C" w14:textId="77777777" w:rsidR="006F43C4" w:rsidRPr="006F43C4" w:rsidRDefault="006F43C4" w:rsidP="006F43C4">
      <w:pPr>
        <w:pStyle w:val="Prrafodelista"/>
        <w:rPr>
          <w:rFonts w:ascii="Verdana" w:hAnsi="Verdana"/>
          <w:sz w:val="20"/>
          <w:szCs w:val="20"/>
        </w:rPr>
      </w:pPr>
    </w:p>
    <w:p w14:paraId="3512C838" w14:textId="77777777" w:rsidR="006F43C4" w:rsidRDefault="006F43C4" w:rsidP="006F43C4">
      <w:pPr>
        <w:pStyle w:val="Prrafodelista"/>
        <w:numPr>
          <w:ilvl w:val="0"/>
          <w:numId w:val="96"/>
        </w:numPr>
        <w:ind w:left="567" w:hanging="567"/>
        <w:jc w:val="both"/>
        <w:rPr>
          <w:rFonts w:ascii="Verdana" w:hAnsi="Verdana"/>
          <w:sz w:val="20"/>
          <w:szCs w:val="20"/>
        </w:rPr>
      </w:pPr>
      <w:r w:rsidRPr="006F43C4">
        <w:rPr>
          <w:rFonts w:ascii="Verdana" w:hAnsi="Verdana"/>
          <w:sz w:val="20"/>
          <w:szCs w:val="20"/>
        </w:rPr>
        <w:t>Considerar la estrategia y apetito de riesgo de la entidad y las condiciones de las economías y mercados donde opera.</w:t>
      </w:r>
    </w:p>
    <w:p w14:paraId="2C97D6D3" w14:textId="77777777" w:rsidR="006F43C4" w:rsidRPr="006F43C4" w:rsidRDefault="006F43C4" w:rsidP="006F43C4">
      <w:pPr>
        <w:pStyle w:val="Prrafodelista"/>
        <w:rPr>
          <w:rFonts w:ascii="Verdana" w:hAnsi="Verdana"/>
          <w:sz w:val="20"/>
          <w:szCs w:val="20"/>
        </w:rPr>
      </w:pPr>
    </w:p>
    <w:p w14:paraId="6C7C8DBB" w14:textId="53E4B25D" w:rsidR="00F706DB" w:rsidRDefault="006F43C4" w:rsidP="006F43C4">
      <w:pPr>
        <w:pStyle w:val="Prrafodelista"/>
        <w:numPr>
          <w:ilvl w:val="0"/>
          <w:numId w:val="96"/>
        </w:numPr>
        <w:ind w:left="567" w:hanging="567"/>
        <w:jc w:val="both"/>
        <w:rPr>
          <w:rFonts w:ascii="Verdana" w:hAnsi="Verdana"/>
          <w:sz w:val="20"/>
          <w:szCs w:val="20"/>
        </w:rPr>
      </w:pPr>
      <w:r w:rsidRPr="006F43C4">
        <w:rPr>
          <w:rFonts w:ascii="Verdana" w:hAnsi="Verdana"/>
          <w:sz w:val="20"/>
          <w:szCs w:val="20"/>
        </w:rPr>
        <w:t xml:space="preserve">Permitir la elaboración de reportes: </w:t>
      </w:r>
      <w:r>
        <w:rPr>
          <w:rFonts w:ascii="Verdana" w:hAnsi="Verdana"/>
          <w:sz w:val="20"/>
          <w:szCs w:val="20"/>
        </w:rPr>
        <w:t>(</w:t>
      </w:r>
      <w:r w:rsidRPr="006F43C4">
        <w:rPr>
          <w:rFonts w:ascii="Verdana" w:hAnsi="Verdana"/>
          <w:sz w:val="20"/>
          <w:szCs w:val="20"/>
        </w:rPr>
        <w:t xml:space="preserve">i) internos para el monitoreo del riesgo, que evalúen los resultados de las estrategias y su correspondencia con el MAR, </w:t>
      </w:r>
      <w:r>
        <w:rPr>
          <w:rFonts w:ascii="Verdana" w:hAnsi="Verdana"/>
          <w:sz w:val="20"/>
          <w:szCs w:val="20"/>
        </w:rPr>
        <w:t>(</w:t>
      </w:r>
      <w:proofErr w:type="spellStart"/>
      <w:r w:rsidRPr="006F43C4">
        <w:rPr>
          <w:rFonts w:ascii="Verdana" w:hAnsi="Verdana"/>
          <w:sz w:val="20"/>
          <w:szCs w:val="20"/>
        </w:rPr>
        <w:t>ii</w:t>
      </w:r>
      <w:proofErr w:type="spellEnd"/>
      <w:r w:rsidRPr="006F43C4">
        <w:rPr>
          <w:rFonts w:ascii="Verdana" w:hAnsi="Verdana"/>
          <w:sz w:val="20"/>
          <w:szCs w:val="20"/>
        </w:rPr>
        <w:t xml:space="preserve">) externos y </w:t>
      </w:r>
      <w:r w:rsidR="00F06CCD">
        <w:rPr>
          <w:rFonts w:ascii="Verdana" w:hAnsi="Verdana"/>
          <w:sz w:val="20"/>
          <w:szCs w:val="20"/>
        </w:rPr>
        <w:t>(</w:t>
      </w:r>
      <w:proofErr w:type="spellStart"/>
      <w:r w:rsidRPr="006F43C4">
        <w:rPr>
          <w:rFonts w:ascii="Verdana" w:hAnsi="Verdana"/>
          <w:sz w:val="20"/>
          <w:szCs w:val="20"/>
        </w:rPr>
        <w:t>iii</w:t>
      </w:r>
      <w:proofErr w:type="spellEnd"/>
      <w:r w:rsidRPr="006F43C4">
        <w:rPr>
          <w:rFonts w:ascii="Verdana" w:hAnsi="Verdana"/>
          <w:sz w:val="20"/>
          <w:szCs w:val="20"/>
        </w:rPr>
        <w:t>) a esta Superintendencia.</w:t>
      </w:r>
    </w:p>
    <w:p w14:paraId="01563314" w14:textId="77777777" w:rsidR="00F706DB" w:rsidRPr="00F706DB" w:rsidRDefault="00F706DB" w:rsidP="00F706DB">
      <w:pPr>
        <w:pStyle w:val="Prrafodelista"/>
        <w:rPr>
          <w:rFonts w:ascii="Verdana" w:hAnsi="Verdana"/>
          <w:sz w:val="20"/>
          <w:szCs w:val="20"/>
        </w:rPr>
      </w:pPr>
    </w:p>
    <w:p w14:paraId="6EA4E61F" w14:textId="3CF0EFEA" w:rsidR="002F5C2B" w:rsidRPr="002F5C2B" w:rsidRDefault="006F43C4" w:rsidP="002F5C2B">
      <w:pPr>
        <w:pStyle w:val="Prrafodelista"/>
        <w:numPr>
          <w:ilvl w:val="0"/>
          <w:numId w:val="96"/>
        </w:numPr>
        <w:ind w:left="567" w:hanging="567"/>
        <w:jc w:val="both"/>
        <w:rPr>
          <w:rFonts w:ascii="Verdana" w:hAnsi="Verdana"/>
          <w:sz w:val="20"/>
          <w:szCs w:val="20"/>
        </w:rPr>
      </w:pPr>
      <w:r w:rsidRPr="00F706DB">
        <w:rPr>
          <w:rFonts w:ascii="Verdana" w:hAnsi="Verdana"/>
          <w:sz w:val="20"/>
          <w:szCs w:val="20"/>
        </w:rPr>
        <w:t xml:space="preserve">Capturar la información de manera oportuna, así como los datos del riesgo sobre todas las exposiciones significativas al RTILB de la entidad. Así mismo, la entidad </w:t>
      </w:r>
      <w:r w:rsidRPr="00F706DB">
        <w:rPr>
          <w:rFonts w:ascii="Verdana" w:hAnsi="Verdana"/>
          <w:sz w:val="20"/>
          <w:szCs w:val="20"/>
        </w:rPr>
        <w:lastRenderedPageBreak/>
        <w:t>debe establecer controles apropiados para monitorear la adecuada extracción de datos para la gestión de este riesgo.</w:t>
      </w:r>
    </w:p>
    <w:p w14:paraId="471D2D8B" w14:textId="17DA19D5" w:rsidR="002F5C2B" w:rsidRPr="00103F59" w:rsidRDefault="002F5C2B" w:rsidP="002F5C2B">
      <w:pPr>
        <w:jc w:val="both"/>
        <w:rPr>
          <w:rFonts w:ascii="Verdana" w:hAnsi="Verdana"/>
          <w:b/>
          <w:bCs/>
          <w:sz w:val="20"/>
          <w:szCs w:val="20"/>
        </w:rPr>
      </w:pPr>
      <w:r>
        <w:rPr>
          <w:rFonts w:ascii="Verdana" w:hAnsi="Verdana"/>
          <w:b/>
          <w:bCs/>
          <w:sz w:val="20"/>
          <w:szCs w:val="20"/>
        </w:rPr>
        <w:t>Límites</w:t>
      </w:r>
    </w:p>
    <w:p w14:paraId="4569181E" w14:textId="0C3AB7A5" w:rsidR="002F5C2B" w:rsidRPr="00103F59" w:rsidRDefault="002F5C2B" w:rsidP="002F5C2B">
      <w:pPr>
        <w:spacing w:after="0"/>
        <w:jc w:val="both"/>
        <w:rPr>
          <w:rFonts w:ascii="Verdana" w:hAnsi="Verdana"/>
          <w:sz w:val="20"/>
          <w:szCs w:val="20"/>
        </w:rPr>
      </w:pPr>
      <w:r w:rsidRPr="00103F59">
        <w:rPr>
          <w:rFonts w:ascii="Verdana" w:hAnsi="Verdana"/>
          <w:sz w:val="20"/>
          <w:szCs w:val="20"/>
        </w:rPr>
        <w:t>1.1.2.35</w:t>
      </w:r>
      <w:r w:rsidR="00CD417D">
        <w:rPr>
          <w:rFonts w:ascii="Verdana" w:hAnsi="Verdana"/>
          <w:sz w:val="20"/>
          <w:szCs w:val="20"/>
        </w:rPr>
        <w:t>9</w:t>
      </w:r>
      <w:r w:rsidRPr="00103F59">
        <w:rPr>
          <w:rFonts w:ascii="Verdana" w:hAnsi="Verdana"/>
          <w:sz w:val="20"/>
          <w:szCs w:val="20"/>
        </w:rPr>
        <w:t>.</w:t>
      </w:r>
    </w:p>
    <w:p w14:paraId="53A43D20" w14:textId="2066D6C0" w:rsidR="006F43C4" w:rsidRPr="00103F59" w:rsidRDefault="00D406EC" w:rsidP="002F5C2B">
      <w:pPr>
        <w:jc w:val="both"/>
        <w:rPr>
          <w:rFonts w:ascii="Verdana" w:hAnsi="Verdana"/>
          <w:sz w:val="20"/>
          <w:szCs w:val="20"/>
        </w:rPr>
      </w:pPr>
      <w:r w:rsidRPr="00D406EC">
        <w:rPr>
          <w:rFonts w:ascii="Verdana" w:hAnsi="Verdana"/>
          <w:sz w:val="20"/>
          <w:szCs w:val="20"/>
        </w:rPr>
        <w:t>La adecuada gestión del RTILB requiere que la entidad establezca límites consistentes con el plan de negocio y el MAR, incluidos los niveles de tolerancia al riesgo, así como las economías y mercados en donde desarrolla su negocio. Dependiendo de la naturaleza de las actividades y el modelo de negocio, la entidad también debe identificar límites, sublímites por unidades de negocio individuales, carteras o tipos de instrumentos. El nivel de detalle de estos límites debe reflejar las características de las posiciones de la entidad, incluidas las diversas fuentes de exposiciones al RTILB.</w:t>
      </w:r>
      <w:r w:rsidR="002144CE">
        <w:rPr>
          <w:rFonts w:ascii="Verdana" w:hAnsi="Verdana"/>
          <w:sz w:val="20"/>
          <w:szCs w:val="20"/>
        </w:rPr>
        <w:t xml:space="preserve"> </w:t>
      </w:r>
      <w:r w:rsidR="00413DDE" w:rsidRPr="00413DDE">
        <w:rPr>
          <w:rFonts w:ascii="Verdana" w:hAnsi="Verdana"/>
          <w:sz w:val="20"/>
          <w:szCs w:val="20"/>
        </w:rPr>
        <w:t>Adicionalmente, la</w:t>
      </w:r>
      <w:r w:rsidR="00536975">
        <w:rPr>
          <w:rFonts w:ascii="Verdana" w:hAnsi="Verdana"/>
          <w:sz w:val="20"/>
          <w:szCs w:val="20"/>
        </w:rPr>
        <w:t xml:space="preserve"> </w:t>
      </w:r>
      <w:r w:rsidR="00536975" w:rsidRPr="00536975">
        <w:rPr>
          <w:rFonts w:ascii="Verdana" w:hAnsi="Verdana"/>
          <w:sz w:val="20"/>
          <w:szCs w:val="20"/>
        </w:rPr>
        <w:t>entidad con exposiciones significativas al riesgo de brecha, de base o de posiciones con opciones explícitas o implícitas, debe establecer el nivel de tolerancia al riesgo acorde con los criterios mencionados inicialmente.</w:t>
      </w:r>
    </w:p>
    <w:p w14:paraId="1B127B99" w14:textId="009F9BA8" w:rsidR="000F3327" w:rsidRPr="00103F59" w:rsidRDefault="000F3327" w:rsidP="000F3327">
      <w:pPr>
        <w:spacing w:after="0"/>
        <w:jc w:val="both"/>
        <w:rPr>
          <w:rFonts w:ascii="Verdana" w:hAnsi="Verdana"/>
          <w:sz w:val="20"/>
          <w:szCs w:val="20"/>
        </w:rPr>
      </w:pPr>
      <w:r w:rsidRPr="00103F59">
        <w:rPr>
          <w:rFonts w:ascii="Verdana" w:hAnsi="Verdana"/>
          <w:sz w:val="20"/>
          <w:szCs w:val="20"/>
        </w:rPr>
        <w:t>1.1.2.3</w:t>
      </w:r>
      <w:r w:rsidR="00CD417D">
        <w:rPr>
          <w:rFonts w:ascii="Verdana" w:hAnsi="Verdana"/>
          <w:sz w:val="20"/>
          <w:szCs w:val="20"/>
        </w:rPr>
        <w:t>60</w:t>
      </w:r>
      <w:r w:rsidRPr="00103F59">
        <w:rPr>
          <w:rFonts w:ascii="Verdana" w:hAnsi="Verdana"/>
          <w:sz w:val="20"/>
          <w:szCs w:val="20"/>
        </w:rPr>
        <w:t>.</w:t>
      </w:r>
    </w:p>
    <w:p w14:paraId="0CD77BC1" w14:textId="2F1C5587" w:rsidR="00E73CE4" w:rsidRDefault="000F3327" w:rsidP="000F3327">
      <w:pPr>
        <w:jc w:val="both"/>
        <w:rPr>
          <w:rFonts w:ascii="Verdana" w:hAnsi="Verdana"/>
          <w:sz w:val="20"/>
          <w:szCs w:val="20"/>
        </w:rPr>
      </w:pPr>
      <w:r w:rsidRPr="00D406EC">
        <w:rPr>
          <w:rFonts w:ascii="Verdana" w:hAnsi="Verdana"/>
          <w:sz w:val="20"/>
          <w:szCs w:val="20"/>
        </w:rPr>
        <w:t xml:space="preserve">La </w:t>
      </w:r>
      <w:r w:rsidRPr="000F3327">
        <w:rPr>
          <w:rFonts w:ascii="Verdana" w:hAnsi="Verdana"/>
          <w:sz w:val="20"/>
          <w:szCs w:val="20"/>
        </w:rPr>
        <w:t>entidad debe establecer límites de riesgo agregados que articulen claramente la cantidad de RTILB aceptable sobre una base consolidada y a nivel individual, según corresponda. Tanto los límites como los niveles de tolerancia deben ser revisados periódicamente para incorporar cambios en las condiciones del mercado o nuevas decisiones derivadas del análisis de riesgo de la entidad.</w:t>
      </w:r>
    </w:p>
    <w:p w14:paraId="47515F2A" w14:textId="20B9D88A" w:rsidR="00B30F7F" w:rsidRPr="0086035E" w:rsidRDefault="00B30F7F" w:rsidP="00B30F7F">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61</w:t>
      </w:r>
      <w:r w:rsidRPr="0086035E">
        <w:rPr>
          <w:rFonts w:ascii="Verdana" w:hAnsi="Verdana"/>
          <w:sz w:val="20"/>
          <w:szCs w:val="20"/>
        </w:rPr>
        <w:t>.</w:t>
      </w:r>
    </w:p>
    <w:p w14:paraId="17BCB3B7" w14:textId="199BBAEB" w:rsidR="00B30F7F" w:rsidRDefault="00614E25" w:rsidP="00B30F7F">
      <w:pPr>
        <w:jc w:val="both"/>
        <w:rPr>
          <w:rFonts w:ascii="Verdana" w:hAnsi="Verdana"/>
          <w:sz w:val="20"/>
          <w:szCs w:val="20"/>
        </w:rPr>
      </w:pPr>
      <w:r w:rsidRPr="00614E25">
        <w:rPr>
          <w:rFonts w:ascii="Verdana" w:hAnsi="Verdana"/>
          <w:sz w:val="20"/>
          <w:szCs w:val="20"/>
        </w:rPr>
        <w:t>Los límites pueden estar asociados a escenarios específicos de cambios en las tasas de interés y estructuras de plazo, tales como su aumento o disminución, o un cambio en la forma de la curva de rendimiento. Los movimientos de las tasas de interés utilizados en el desarrollo de estos límites deben representar situaciones de choque y estrés lo suficientemente adversos, teniendo en cuenta la volatilidad histórica de las tasas de interés y el tiempo requerido por la AG y la JD para mitigar esas exposiciones de riesgo</w:t>
      </w:r>
      <w:r w:rsidR="00B30F7F">
        <w:rPr>
          <w:rFonts w:ascii="Verdana" w:hAnsi="Verdana"/>
          <w:sz w:val="20"/>
          <w:szCs w:val="20"/>
        </w:rPr>
        <w:t>.</w:t>
      </w:r>
      <w:r w:rsidR="00B30F7F" w:rsidRPr="00D2530E">
        <w:rPr>
          <w:rFonts w:ascii="Verdana" w:hAnsi="Verdana"/>
          <w:sz w:val="20"/>
          <w:szCs w:val="20"/>
        </w:rPr>
        <w:t xml:space="preserve"> </w:t>
      </w:r>
    </w:p>
    <w:p w14:paraId="3D4724B5" w14:textId="638800DE" w:rsidR="00B30F7F" w:rsidRPr="0086035E" w:rsidRDefault="00B30F7F" w:rsidP="00B30F7F">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62</w:t>
      </w:r>
      <w:r w:rsidRPr="0086035E">
        <w:rPr>
          <w:rFonts w:ascii="Verdana" w:hAnsi="Verdana"/>
          <w:sz w:val="20"/>
          <w:szCs w:val="20"/>
        </w:rPr>
        <w:t>.</w:t>
      </w:r>
    </w:p>
    <w:p w14:paraId="6D581A8E" w14:textId="796B2DB5" w:rsidR="00B30F7F" w:rsidRDefault="00A678A6" w:rsidP="00B30F7F">
      <w:pPr>
        <w:jc w:val="both"/>
        <w:rPr>
          <w:rFonts w:ascii="Verdana" w:hAnsi="Verdana"/>
          <w:sz w:val="20"/>
          <w:szCs w:val="20"/>
        </w:rPr>
      </w:pPr>
      <w:r w:rsidRPr="00A678A6">
        <w:rPr>
          <w:rFonts w:ascii="Verdana" w:hAnsi="Verdana"/>
          <w:sz w:val="20"/>
          <w:szCs w:val="20"/>
        </w:rPr>
        <w:t>Así mismo, la entidad debe establecer un marco para monitorear la evolución de las estrategias de cobertura que se basan en instrumentos derivados y para controlar el riesgo de mercado de los instrumentos que se contabilizan al valor razonable.</w:t>
      </w:r>
      <w:r w:rsidR="00B30F7F" w:rsidRPr="00D2530E">
        <w:rPr>
          <w:rFonts w:ascii="Verdana" w:hAnsi="Verdana"/>
          <w:sz w:val="20"/>
          <w:szCs w:val="20"/>
        </w:rPr>
        <w:t xml:space="preserve"> </w:t>
      </w:r>
    </w:p>
    <w:p w14:paraId="67FF9B84" w14:textId="5BB0898F" w:rsidR="00B30F7F" w:rsidRPr="0086035E" w:rsidRDefault="00B30F7F" w:rsidP="00B30F7F">
      <w:pPr>
        <w:spacing w:after="0"/>
        <w:jc w:val="both"/>
        <w:rPr>
          <w:rFonts w:ascii="Verdana" w:hAnsi="Verdana"/>
          <w:sz w:val="20"/>
          <w:szCs w:val="20"/>
        </w:rPr>
      </w:pPr>
      <w:r w:rsidRPr="0086035E">
        <w:rPr>
          <w:rFonts w:ascii="Verdana" w:hAnsi="Verdana"/>
          <w:sz w:val="20"/>
          <w:szCs w:val="20"/>
        </w:rPr>
        <w:t>1.1.</w:t>
      </w:r>
      <w:r>
        <w:rPr>
          <w:rFonts w:ascii="Verdana" w:hAnsi="Verdana"/>
          <w:sz w:val="20"/>
          <w:szCs w:val="20"/>
        </w:rPr>
        <w:t>2</w:t>
      </w:r>
      <w:r w:rsidRPr="0086035E">
        <w:rPr>
          <w:rFonts w:ascii="Verdana" w:hAnsi="Verdana"/>
          <w:sz w:val="20"/>
          <w:szCs w:val="20"/>
        </w:rPr>
        <w:t>.</w:t>
      </w:r>
      <w:r>
        <w:rPr>
          <w:rFonts w:ascii="Verdana" w:hAnsi="Verdana"/>
          <w:sz w:val="20"/>
          <w:szCs w:val="20"/>
        </w:rPr>
        <w:t>3</w:t>
      </w:r>
      <w:r w:rsidR="00CD417D">
        <w:rPr>
          <w:rFonts w:ascii="Verdana" w:hAnsi="Verdana"/>
          <w:sz w:val="20"/>
          <w:szCs w:val="20"/>
        </w:rPr>
        <w:t>63</w:t>
      </w:r>
      <w:r w:rsidRPr="0086035E">
        <w:rPr>
          <w:rFonts w:ascii="Verdana" w:hAnsi="Verdana"/>
          <w:sz w:val="20"/>
          <w:szCs w:val="20"/>
        </w:rPr>
        <w:t>.</w:t>
      </w:r>
    </w:p>
    <w:p w14:paraId="53FE0060" w14:textId="3BD87C3B" w:rsidR="00B30F7F" w:rsidRDefault="0091702F" w:rsidP="00B30F7F">
      <w:pPr>
        <w:jc w:val="both"/>
        <w:rPr>
          <w:rFonts w:ascii="Verdana" w:hAnsi="Verdana"/>
          <w:sz w:val="20"/>
          <w:szCs w:val="20"/>
        </w:rPr>
      </w:pPr>
      <w:r w:rsidRPr="0091702F">
        <w:rPr>
          <w:rFonts w:ascii="Verdana" w:hAnsi="Verdana"/>
          <w:sz w:val="20"/>
          <w:szCs w:val="20"/>
        </w:rPr>
        <w:t>Los límites que establezca la entidad deben como mín</w:t>
      </w:r>
      <w:r>
        <w:rPr>
          <w:rFonts w:ascii="Verdana" w:hAnsi="Verdana"/>
          <w:sz w:val="20"/>
          <w:szCs w:val="20"/>
        </w:rPr>
        <w:t>imo:</w:t>
      </w:r>
      <w:r w:rsidR="00B30F7F" w:rsidRPr="00D2530E">
        <w:rPr>
          <w:rFonts w:ascii="Verdana" w:hAnsi="Verdana"/>
          <w:sz w:val="20"/>
          <w:szCs w:val="20"/>
        </w:rPr>
        <w:t xml:space="preserve"> </w:t>
      </w:r>
    </w:p>
    <w:p w14:paraId="3C7D0B0D" w14:textId="77777777" w:rsidR="007C6C5F" w:rsidRDefault="007C6C5F" w:rsidP="007C6C5F">
      <w:pPr>
        <w:pStyle w:val="Prrafodelista"/>
        <w:numPr>
          <w:ilvl w:val="0"/>
          <w:numId w:val="97"/>
        </w:numPr>
        <w:ind w:left="567" w:hanging="567"/>
        <w:jc w:val="both"/>
        <w:rPr>
          <w:rFonts w:ascii="Verdana" w:hAnsi="Verdana"/>
          <w:sz w:val="20"/>
          <w:szCs w:val="20"/>
        </w:rPr>
      </w:pPr>
      <w:r w:rsidRPr="007C6C5F">
        <w:rPr>
          <w:rFonts w:ascii="Verdana" w:hAnsi="Verdana"/>
          <w:sz w:val="20"/>
          <w:szCs w:val="20"/>
        </w:rPr>
        <w:t>Articularse en términos de riesgo tanto para el VEP como para el MNI acordes con la metodología de medición utilizada para cuantificar el RTILB.</w:t>
      </w:r>
    </w:p>
    <w:p w14:paraId="2384E29A" w14:textId="77777777" w:rsidR="007C6C5F" w:rsidRDefault="007C6C5F" w:rsidP="007C6C5F">
      <w:pPr>
        <w:pStyle w:val="Prrafodelista"/>
        <w:ind w:left="567"/>
        <w:jc w:val="both"/>
        <w:rPr>
          <w:rFonts w:ascii="Verdana" w:hAnsi="Verdana"/>
          <w:sz w:val="20"/>
          <w:szCs w:val="20"/>
        </w:rPr>
      </w:pPr>
    </w:p>
    <w:p w14:paraId="78B147D7" w14:textId="77777777" w:rsidR="007C6C5F" w:rsidRDefault="007C6C5F" w:rsidP="007C6C5F">
      <w:pPr>
        <w:pStyle w:val="Prrafodelista"/>
        <w:numPr>
          <w:ilvl w:val="0"/>
          <w:numId w:val="97"/>
        </w:numPr>
        <w:ind w:left="567" w:hanging="567"/>
        <w:jc w:val="both"/>
        <w:rPr>
          <w:rFonts w:ascii="Verdana" w:hAnsi="Verdana"/>
          <w:sz w:val="20"/>
          <w:szCs w:val="20"/>
        </w:rPr>
      </w:pPr>
      <w:r w:rsidRPr="007C6C5F">
        <w:rPr>
          <w:rFonts w:ascii="Verdana" w:hAnsi="Verdana"/>
          <w:sz w:val="20"/>
          <w:szCs w:val="20"/>
        </w:rPr>
        <w:t>Establecer indicadores de alerta temprana que permitan identificar los rangos de los límites definidos antes de ser excedidos y, por tanto, las medidas de gestión que deben implementarse frente al aumento de la exposición al RTILB o debilidades en el sistema de control.</w:t>
      </w:r>
    </w:p>
    <w:p w14:paraId="441DF106" w14:textId="77777777" w:rsidR="007C6C5F" w:rsidRPr="007C6C5F" w:rsidRDefault="007C6C5F" w:rsidP="007C6C5F">
      <w:pPr>
        <w:pStyle w:val="Prrafodelista"/>
        <w:rPr>
          <w:rFonts w:ascii="Verdana" w:hAnsi="Verdana"/>
          <w:sz w:val="20"/>
          <w:szCs w:val="20"/>
        </w:rPr>
      </w:pPr>
    </w:p>
    <w:p w14:paraId="71B2BC5A" w14:textId="77777777" w:rsidR="007C6C5F" w:rsidRDefault="007C6C5F" w:rsidP="007C6C5F">
      <w:pPr>
        <w:pStyle w:val="Prrafodelista"/>
        <w:numPr>
          <w:ilvl w:val="0"/>
          <w:numId w:val="97"/>
        </w:numPr>
        <w:ind w:left="567" w:hanging="567"/>
        <w:jc w:val="both"/>
        <w:rPr>
          <w:rFonts w:ascii="Verdana" w:hAnsi="Verdana"/>
          <w:sz w:val="20"/>
          <w:szCs w:val="20"/>
        </w:rPr>
      </w:pPr>
      <w:r w:rsidRPr="007C6C5F">
        <w:rPr>
          <w:rFonts w:ascii="Verdana" w:hAnsi="Verdana"/>
          <w:sz w:val="20"/>
          <w:szCs w:val="20"/>
        </w:rPr>
        <w:t>Contar con sistemas que garanticen que la entidad monitorea y controla que el RTILB se encuentra dentro de los límites definidos por la AG y la JD y que las posiciones que es probable que excedan los límites definidos tengan una respuesta rápida por parte de la AG y se les dé prioridad.</w:t>
      </w:r>
    </w:p>
    <w:p w14:paraId="70F0AA2D" w14:textId="77777777" w:rsidR="007C6C5F" w:rsidRPr="007C6C5F" w:rsidRDefault="007C6C5F" w:rsidP="007C6C5F">
      <w:pPr>
        <w:pStyle w:val="Prrafodelista"/>
        <w:rPr>
          <w:rFonts w:ascii="Verdana" w:hAnsi="Verdana"/>
          <w:sz w:val="20"/>
          <w:szCs w:val="20"/>
        </w:rPr>
      </w:pPr>
    </w:p>
    <w:p w14:paraId="0A5BAB72" w14:textId="77777777" w:rsidR="007C6C5F" w:rsidRDefault="007C6C5F" w:rsidP="007C6C5F">
      <w:pPr>
        <w:pStyle w:val="Prrafodelista"/>
        <w:numPr>
          <w:ilvl w:val="0"/>
          <w:numId w:val="97"/>
        </w:numPr>
        <w:ind w:left="567" w:hanging="567"/>
        <w:jc w:val="both"/>
        <w:rPr>
          <w:rFonts w:ascii="Verdana" w:hAnsi="Verdana"/>
          <w:sz w:val="20"/>
          <w:szCs w:val="20"/>
        </w:rPr>
      </w:pPr>
      <w:r w:rsidRPr="007C6C5F">
        <w:rPr>
          <w:rFonts w:ascii="Verdana" w:hAnsi="Verdana"/>
          <w:sz w:val="20"/>
          <w:szCs w:val="20"/>
        </w:rPr>
        <w:t xml:space="preserve">Establecer y señalar de forma clara a quién se reporta cuando estos límites sean excedidos, cómo se realizará la comunicación y qué medidas se deben adoptar. </w:t>
      </w:r>
    </w:p>
    <w:p w14:paraId="79CCE018" w14:textId="77777777" w:rsidR="007C6C5F" w:rsidRPr="007C6C5F" w:rsidRDefault="007C6C5F" w:rsidP="007C6C5F">
      <w:pPr>
        <w:pStyle w:val="Prrafodelista"/>
        <w:rPr>
          <w:rFonts w:ascii="Verdana" w:hAnsi="Verdana"/>
          <w:sz w:val="20"/>
          <w:szCs w:val="20"/>
        </w:rPr>
      </w:pPr>
    </w:p>
    <w:p w14:paraId="454BEF9C" w14:textId="678C3F0C" w:rsidR="007C6C5F" w:rsidRPr="007C6C5F" w:rsidRDefault="007C6C5F" w:rsidP="007C6C5F">
      <w:pPr>
        <w:pStyle w:val="Prrafodelista"/>
        <w:numPr>
          <w:ilvl w:val="0"/>
          <w:numId w:val="97"/>
        </w:numPr>
        <w:ind w:left="567" w:hanging="567"/>
        <w:jc w:val="both"/>
        <w:rPr>
          <w:rFonts w:ascii="Verdana" w:hAnsi="Verdana"/>
          <w:sz w:val="20"/>
          <w:szCs w:val="20"/>
        </w:rPr>
      </w:pPr>
      <w:r w:rsidRPr="007C6C5F">
        <w:rPr>
          <w:rFonts w:ascii="Verdana" w:hAnsi="Verdana"/>
          <w:sz w:val="20"/>
          <w:szCs w:val="20"/>
        </w:rPr>
        <w:t>Incluir dentro de la evaluación periódica de la auditoría interna el seguimiento de las alertas tempranas y límites de este riesgo.</w:t>
      </w:r>
    </w:p>
    <w:p w14:paraId="428EE9E1" w14:textId="6460E851" w:rsidR="00533107" w:rsidRPr="00533107" w:rsidRDefault="00825E4B" w:rsidP="00533107">
      <w:pPr>
        <w:jc w:val="both"/>
        <w:rPr>
          <w:rFonts w:ascii="Verdana" w:hAnsi="Verdana"/>
          <w:b/>
          <w:bCs/>
          <w:sz w:val="20"/>
          <w:szCs w:val="20"/>
        </w:rPr>
      </w:pPr>
      <w:r w:rsidRPr="00825E4B">
        <w:rPr>
          <w:rFonts w:ascii="Verdana" w:hAnsi="Verdana"/>
          <w:b/>
          <w:bCs/>
          <w:sz w:val="20"/>
          <w:szCs w:val="20"/>
        </w:rPr>
        <w:t>Infraestructura tecnológica</w:t>
      </w:r>
      <w:r w:rsidR="00366E94">
        <w:rPr>
          <w:rFonts w:ascii="Verdana" w:hAnsi="Verdana"/>
          <w:b/>
          <w:bCs/>
          <w:sz w:val="20"/>
          <w:szCs w:val="20"/>
        </w:rPr>
        <w:t>,</w:t>
      </w:r>
      <w:r w:rsidRPr="00825E4B">
        <w:rPr>
          <w:rFonts w:ascii="Verdana" w:hAnsi="Verdana"/>
          <w:b/>
          <w:bCs/>
          <w:sz w:val="20"/>
          <w:szCs w:val="20"/>
        </w:rPr>
        <w:t xml:space="preserve"> Información y Reportes</w:t>
      </w:r>
    </w:p>
    <w:p w14:paraId="043ACC76" w14:textId="7FAF2D6F" w:rsidR="006D3D1F" w:rsidRPr="00533107" w:rsidRDefault="00533107" w:rsidP="00533107">
      <w:pPr>
        <w:spacing w:after="0"/>
        <w:jc w:val="both"/>
        <w:rPr>
          <w:rFonts w:ascii="Verdana" w:hAnsi="Verdana"/>
          <w:sz w:val="20"/>
          <w:szCs w:val="20"/>
        </w:rPr>
      </w:pPr>
      <w:r w:rsidRPr="00533107">
        <w:rPr>
          <w:rFonts w:ascii="Verdana" w:hAnsi="Verdana"/>
          <w:sz w:val="20"/>
          <w:szCs w:val="20"/>
        </w:rPr>
        <w:t>1</w:t>
      </w:r>
      <w:r w:rsidR="006D3D1F" w:rsidRPr="00533107">
        <w:rPr>
          <w:rFonts w:ascii="Verdana" w:hAnsi="Verdana"/>
          <w:sz w:val="20"/>
          <w:szCs w:val="20"/>
        </w:rPr>
        <w:t>.1.2.364.</w:t>
      </w:r>
    </w:p>
    <w:p w14:paraId="319ABC41" w14:textId="69883593" w:rsidR="000E70DE" w:rsidRPr="00E54D2C" w:rsidRDefault="00F06CCD" w:rsidP="00E54D2C">
      <w:pPr>
        <w:jc w:val="both"/>
        <w:rPr>
          <w:rFonts w:ascii="Verdana" w:hAnsi="Verdana"/>
          <w:sz w:val="20"/>
          <w:szCs w:val="20"/>
        </w:rPr>
      </w:pPr>
      <w:r>
        <w:rPr>
          <w:rFonts w:ascii="Verdana" w:hAnsi="Verdana"/>
          <w:sz w:val="20"/>
          <w:szCs w:val="20"/>
        </w:rPr>
        <w:t>De acuerdo</w:t>
      </w:r>
      <w:r w:rsidR="004403E2" w:rsidRPr="004403E2">
        <w:rPr>
          <w:rFonts w:ascii="Verdana" w:hAnsi="Verdana"/>
          <w:sz w:val="20"/>
          <w:szCs w:val="20"/>
        </w:rPr>
        <w:t xml:space="preserve"> con lo dispuesto e</w:t>
      </w:r>
      <w:r w:rsidR="00EF6DEA">
        <w:rPr>
          <w:rFonts w:ascii="Verdana" w:hAnsi="Verdana"/>
          <w:sz w:val="20"/>
          <w:szCs w:val="20"/>
        </w:rPr>
        <w:t xml:space="preserve">ntre los párrafos 1.1.1.56. y 1.1.1.62 de la </w:t>
      </w:r>
      <w:r w:rsidR="00F5486D">
        <w:rPr>
          <w:rFonts w:ascii="Verdana" w:hAnsi="Verdana"/>
          <w:sz w:val="20"/>
          <w:szCs w:val="20"/>
        </w:rPr>
        <w:t>CBF</w:t>
      </w:r>
      <w:r w:rsidR="004403E2" w:rsidRPr="004403E2">
        <w:rPr>
          <w:rFonts w:ascii="Verdana" w:hAnsi="Verdana"/>
          <w:sz w:val="20"/>
          <w:szCs w:val="20"/>
        </w:rPr>
        <w:t xml:space="preserve">, la entidad debe contar con un sistema </w:t>
      </w:r>
      <w:r w:rsidR="00BA0DB1">
        <w:rPr>
          <w:rFonts w:ascii="Verdana" w:hAnsi="Verdana"/>
          <w:sz w:val="20"/>
          <w:szCs w:val="20"/>
        </w:rPr>
        <w:t xml:space="preserve">de </w:t>
      </w:r>
      <w:r w:rsidR="00511795" w:rsidDel="000E70DE">
        <w:rPr>
          <w:rFonts w:ascii="Verdana" w:hAnsi="Verdana"/>
          <w:sz w:val="20"/>
          <w:szCs w:val="20"/>
        </w:rPr>
        <w:t xml:space="preserve">información </w:t>
      </w:r>
      <w:r w:rsidR="00511795" w:rsidRPr="004403E2" w:rsidDel="000E70DE">
        <w:rPr>
          <w:rFonts w:ascii="Verdana" w:hAnsi="Verdana"/>
          <w:sz w:val="20"/>
          <w:szCs w:val="20"/>
        </w:rPr>
        <w:t>adecuado</w:t>
      </w:r>
      <w:r w:rsidR="004403E2" w:rsidRPr="004403E2">
        <w:rPr>
          <w:rFonts w:ascii="Verdana" w:hAnsi="Verdana"/>
          <w:sz w:val="20"/>
          <w:szCs w:val="20"/>
        </w:rPr>
        <w:t xml:space="preserve"> (hardware</w:t>
      </w:r>
      <w:r w:rsidR="00FD18C2">
        <w:rPr>
          <w:rFonts w:ascii="Verdana" w:hAnsi="Verdana"/>
          <w:sz w:val="20"/>
          <w:szCs w:val="20"/>
        </w:rPr>
        <w:t>,</w:t>
      </w:r>
      <w:r w:rsidR="004403E2" w:rsidRPr="004403E2">
        <w:rPr>
          <w:rFonts w:ascii="Verdana" w:hAnsi="Verdana"/>
          <w:sz w:val="20"/>
          <w:szCs w:val="20"/>
        </w:rPr>
        <w:t xml:space="preserve"> software</w:t>
      </w:r>
      <w:r w:rsidR="00AE4659">
        <w:rPr>
          <w:rFonts w:ascii="Verdana" w:hAnsi="Verdana"/>
          <w:sz w:val="20"/>
          <w:szCs w:val="20"/>
        </w:rPr>
        <w:t xml:space="preserve"> y base de datos</w:t>
      </w:r>
      <w:r w:rsidR="004403E2" w:rsidRPr="004403E2">
        <w:rPr>
          <w:rFonts w:ascii="Verdana" w:hAnsi="Verdana"/>
          <w:sz w:val="20"/>
          <w:szCs w:val="20"/>
        </w:rPr>
        <w:t>) que le permita recopilar información histórica suficiente de sus operaciones y contar con un</w:t>
      </w:r>
      <w:r w:rsidR="00BB4D80">
        <w:rPr>
          <w:rFonts w:ascii="Verdana" w:hAnsi="Verdana"/>
          <w:sz w:val="20"/>
          <w:szCs w:val="20"/>
        </w:rPr>
        <w:t xml:space="preserve"> repositorio de </w:t>
      </w:r>
      <w:r w:rsidR="004403E2" w:rsidRPr="004403E2">
        <w:rPr>
          <w:rFonts w:ascii="Verdana" w:hAnsi="Verdana"/>
          <w:sz w:val="20"/>
          <w:szCs w:val="20"/>
        </w:rPr>
        <w:t>datos complet</w:t>
      </w:r>
      <w:r w:rsidR="00BB4D80">
        <w:rPr>
          <w:rFonts w:ascii="Verdana" w:hAnsi="Verdana"/>
          <w:sz w:val="20"/>
          <w:szCs w:val="20"/>
        </w:rPr>
        <w:t>o</w:t>
      </w:r>
      <w:r w:rsidR="004403E2" w:rsidRPr="004403E2">
        <w:rPr>
          <w:rFonts w:ascii="Verdana" w:hAnsi="Verdana"/>
          <w:sz w:val="20"/>
          <w:szCs w:val="20"/>
        </w:rPr>
        <w:t xml:space="preserve"> </w:t>
      </w:r>
      <w:r w:rsidR="00BB4D80">
        <w:rPr>
          <w:rFonts w:ascii="Verdana" w:hAnsi="Verdana"/>
          <w:sz w:val="20"/>
          <w:szCs w:val="20"/>
        </w:rPr>
        <w:t xml:space="preserve">y seguro </w:t>
      </w:r>
      <w:r w:rsidR="004403E2" w:rsidRPr="004403E2">
        <w:rPr>
          <w:rFonts w:ascii="Verdana" w:hAnsi="Verdana"/>
          <w:sz w:val="20"/>
          <w:szCs w:val="20"/>
        </w:rPr>
        <w:t>para</w:t>
      </w:r>
      <w:r w:rsidR="004403E2" w:rsidRPr="004403E2" w:rsidDel="00A76816">
        <w:rPr>
          <w:rFonts w:ascii="Verdana" w:hAnsi="Verdana"/>
          <w:sz w:val="20"/>
          <w:szCs w:val="20"/>
        </w:rPr>
        <w:t xml:space="preserve"> </w:t>
      </w:r>
      <w:r w:rsidR="004403E2" w:rsidRPr="004403E2">
        <w:rPr>
          <w:rFonts w:ascii="Verdana" w:hAnsi="Verdana"/>
          <w:sz w:val="20"/>
          <w:szCs w:val="20"/>
        </w:rPr>
        <w:t xml:space="preserve">procesar las operaciones expuestas al RTILB e identificar, medir y agregar dicho riesgo, así como generar de manera oportuna y precisa los informes necesarios para respaldar la adecuada gestión </w:t>
      </w:r>
      <w:r w:rsidR="004403E2" w:rsidRPr="004403E2">
        <w:rPr>
          <w:rFonts w:ascii="Verdana" w:hAnsi="Verdana"/>
          <w:sz w:val="20"/>
          <w:szCs w:val="20"/>
        </w:rPr>
        <w:lastRenderedPageBreak/>
        <w:t>del RTILB. La información suministrada debe reflejar de forma completa y clara todas las fuentes de RTILB de las operaciones y el valor de las exposiciones al RTILB en el VEP y en el MNI, así como otras medidas del RTILB sobre la base de los escenarios de perturbación prescritos y el esquema de pruebas de resistencia que establezca esta Superintendencia</w:t>
      </w:r>
      <w:r w:rsidR="00E54D2C" w:rsidRPr="00394325">
        <w:rPr>
          <w:rFonts w:ascii="Verdana" w:hAnsi="Verdana"/>
          <w:sz w:val="20"/>
          <w:szCs w:val="20"/>
        </w:rPr>
        <w:t>.</w:t>
      </w:r>
    </w:p>
    <w:p w14:paraId="764F01BD" w14:textId="578A707C" w:rsidR="00E54D2C" w:rsidRPr="00732E97" w:rsidRDefault="00E54D2C" w:rsidP="00E54D2C">
      <w:pPr>
        <w:pStyle w:val="Prrafodelista"/>
        <w:numPr>
          <w:ilvl w:val="0"/>
          <w:numId w:val="2"/>
        </w:numPr>
        <w:ind w:left="284" w:hanging="284"/>
        <w:jc w:val="both"/>
        <w:rPr>
          <w:rFonts w:ascii="Verdana" w:hAnsi="Verdana"/>
          <w:b/>
          <w:bCs/>
          <w:sz w:val="20"/>
          <w:szCs w:val="20"/>
        </w:rPr>
      </w:pPr>
      <w:r>
        <w:rPr>
          <w:rFonts w:ascii="Verdana" w:hAnsi="Verdana"/>
          <w:b/>
          <w:bCs/>
          <w:sz w:val="20"/>
          <w:szCs w:val="20"/>
        </w:rPr>
        <w:t>Información interna</w:t>
      </w:r>
    </w:p>
    <w:p w14:paraId="68131192" w14:textId="18F1928E" w:rsidR="00E54D2C" w:rsidRPr="00E54D2C" w:rsidRDefault="00E54D2C" w:rsidP="00E54D2C">
      <w:pPr>
        <w:spacing w:after="0"/>
        <w:jc w:val="both"/>
        <w:rPr>
          <w:rFonts w:ascii="Verdana" w:hAnsi="Verdana"/>
          <w:sz w:val="20"/>
          <w:szCs w:val="20"/>
        </w:rPr>
      </w:pPr>
      <w:r w:rsidRPr="00E54D2C">
        <w:rPr>
          <w:rFonts w:ascii="Verdana" w:hAnsi="Verdana"/>
          <w:sz w:val="20"/>
          <w:szCs w:val="20"/>
        </w:rPr>
        <w:t>1.1.2.36</w:t>
      </w:r>
      <w:r>
        <w:rPr>
          <w:rFonts w:ascii="Verdana" w:hAnsi="Verdana"/>
          <w:sz w:val="20"/>
          <w:szCs w:val="20"/>
        </w:rPr>
        <w:t>5</w:t>
      </w:r>
      <w:r w:rsidRPr="00E54D2C">
        <w:rPr>
          <w:rFonts w:ascii="Verdana" w:hAnsi="Verdana"/>
          <w:sz w:val="20"/>
          <w:szCs w:val="20"/>
        </w:rPr>
        <w:t>.</w:t>
      </w:r>
    </w:p>
    <w:p w14:paraId="722904B2" w14:textId="7F28D990" w:rsidR="006D3D1F" w:rsidRDefault="00534B65" w:rsidP="00E54D2C">
      <w:pPr>
        <w:jc w:val="both"/>
        <w:rPr>
          <w:rFonts w:ascii="Verdana" w:hAnsi="Verdana"/>
          <w:sz w:val="20"/>
          <w:szCs w:val="20"/>
        </w:rPr>
      </w:pPr>
      <w:r w:rsidRPr="00534B65">
        <w:rPr>
          <w:rFonts w:ascii="Verdana" w:hAnsi="Verdana"/>
          <w:sz w:val="20"/>
          <w:szCs w:val="20"/>
        </w:rPr>
        <w:t>La información interna debe suministrarse de acuerdo con los lineamientos contenidos en los</w:t>
      </w:r>
      <w:r w:rsidR="003E7C4E">
        <w:rPr>
          <w:rFonts w:ascii="Verdana" w:hAnsi="Verdana"/>
          <w:sz w:val="20"/>
          <w:szCs w:val="20"/>
        </w:rPr>
        <w:t xml:space="preserve"> literales del (i) al (n) del párrafo 1.1.1.46</w:t>
      </w:r>
      <w:r w:rsidR="00DA0D88">
        <w:rPr>
          <w:rFonts w:ascii="Verdana" w:hAnsi="Verdana"/>
          <w:sz w:val="20"/>
          <w:szCs w:val="20"/>
        </w:rPr>
        <w:t>. y en los párrafos 1.1.1.</w:t>
      </w:r>
      <w:r w:rsidR="001C515A">
        <w:rPr>
          <w:rFonts w:ascii="Verdana" w:hAnsi="Verdana"/>
          <w:sz w:val="20"/>
          <w:szCs w:val="20"/>
        </w:rPr>
        <w:t xml:space="preserve">59. al 1.1.1.61. de la </w:t>
      </w:r>
      <w:r w:rsidR="00F5486D">
        <w:rPr>
          <w:rFonts w:ascii="Verdana" w:hAnsi="Verdana"/>
          <w:sz w:val="20"/>
          <w:szCs w:val="20"/>
        </w:rPr>
        <w:t>CBF</w:t>
      </w:r>
      <w:r w:rsidRPr="00534B65">
        <w:rPr>
          <w:rFonts w:ascii="Verdana" w:hAnsi="Verdana"/>
          <w:sz w:val="20"/>
          <w:szCs w:val="20"/>
        </w:rPr>
        <w:t>. En este sentido, los responsables de la gestión del RTILB deben proporcionar suficiente información cuantitativa y cualitativa a la JD, la AG, y a los demás órganos de la estructura de gobierno de riesgos que incluya como mínimo:</w:t>
      </w:r>
    </w:p>
    <w:p w14:paraId="59741500" w14:textId="77777777" w:rsidR="00734CB9" w:rsidRDefault="00734CB9" w:rsidP="00734CB9">
      <w:pPr>
        <w:pStyle w:val="Prrafodelista"/>
        <w:numPr>
          <w:ilvl w:val="0"/>
          <w:numId w:val="98"/>
        </w:numPr>
        <w:ind w:left="567" w:hanging="567"/>
        <w:jc w:val="both"/>
        <w:rPr>
          <w:rFonts w:ascii="Verdana" w:hAnsi="Verdana"/>
          <w:sz w:val="20"/>
          <w:szCs w:val="20"/>
        </w:rPr>
      </w:pPr>
      <w:r w:rsidRPr="00734CB9">
        <w:rPr>
          <w:rFonts w:ascii="Verdana" w:hAnsi="Verdana"/>
          <w:sz w:val="20"/>
          <w:szCs w:val="20"/>
        </w:rPr>
        <w:t>Resumen de las exposiciones al RTILB agregadas de la entidad y explicación detallada de los activos, pasivos, flujos de efectivo y estrategias, incluidas las actividades del programa de cobertura para mitigar este riesgo que influyen en el nivel y dirección del RTILB.</w:t>
      </w:r>
    </w:p>
    <w:p w14:paraId="719F3CAE" w14:textId="77777777" w:rsidR="00734CB9" w:rsidRDefault="00734CB9" w:rsidP="00734CB9">
      <w:pPr>
        <w:pStyle w:val="Prrafodelista"/>
        <w:ind w:left="567"/>
        <w:jc w:val="both"/>
        <w:rPr>
          <w:rFonts w:ascii="Verdana" w:hAnsi="Verdana"/>
          <w:sz w:val="20"/>
          <w:szCs w:val="20"/>
        </w:rPr>
      </w:pPr>
    </w:p>
    <w:p w14:paraId="152F8482" w14:textId="77777777" w:rsidR="00734CB9" w:rsidRDefault="00734CB9" w:rsidP="00734CB9">
      <w:pPr>
        <w:pStyle w:val="Prrafodelista"/>
        <w:numPr>
          <w:ilvl w:val="0"/>
          <w:numId w:val="98"/>
        </w:numPr>
        <w:ind w:left="567" w:hanging="567"/>
        <w:jc w:val="both"/>
        <w:rPr>
          <w:rFonts w:ascii="Verdana" w:hAnsi="Verdana"/>
          <w:sz w:val="20"/>
          <w:szCs w:val="20"/>
        </w:rPr>
      </w:pPr>
      <w:r w:rsidRPr="00734CB9">
        <w:rPr>
          <w:rFonts w:ascii="Verdana" w:hAnsi="Verdana"/>
          <w:sz w:val="20"/>
          <w:szCs w:val="20"/>
        </w:rPr>
        <w:t>Supuestos clave del modelo, tales como: características de los NMD, amortizaciones anticipadas en instrumentos a tasa fija y agregación de monedas.</w:t>
      </w:r>
    </w:p>
    <w:p w14:paraId="5AFB36C8" w14:textId="77777777" w:rsidR="00734CB9" w:rsidRPr="00734CB9" w:rsidRDefault="00734CB9" w:rsidP="00734CB9">
      <w:pPr>
        <w:pStyle w:val="Prrafodelista"/>
        <w:rPr>
          <w:rFonts w:ascii="Verdana" w:hAnsi="Verdana"/>
          <w:sz w:val="20"/>
          <w:szCs w:val="20"/>
        </w:rPr>
      </w:pPr>
    </w:p>
    <w:p w14:paraId="71716CA6" w14:textId="77777777" w:rsidR="00734CB9" w:rsidRDefault="00734CB9" w:rsidP="00734CB9">
      <w:pPr>
        <w:pStyle w:val="Prrafodelista"/>
        <w:numPr>
          <w:ilvl w:val="0"/>
          <w:numId w:val="98"/>
        </w:numPr>
        <w:ind w:left="567" w:hanging="567"/>
        <w:jc w:val="both"/>
        <w:rPr>
          <w:rFonts w:ascii="Verdana" w:hAnsi="Verdana"/>
          <w:sz w:val="20"/>
          <w:szCs w:val="20"/>
        </w:rPr>
      </w:pPr>
      <w:r w:rsidRPr="00734CB9">
        <w:rPr>
          <w:rFonts w:ascii="Verdana" w:hAnsi="Verdana"/>
          <w:sz w:val="20"/>
          <w:szCs w:val="20"/>
        </w:rPr>
        <w:t>Detalle del impacto de los supuestos clave del modelo en la medición del RTILB en términos del VEP y del MNI, incluidos los cambios en los supuestos bajo varios escenarios de tasa de interés.</w:t>
      </w:r>
    </w:p>
    <w:p w14:paraId="27622367" w14:textId="77777777" w:rsidR="00734CB9" w:rsidRPr="00734CB9" w:rsidRDefault="00734CB9" w:rsidP="00734CB9">
      <w:pPr>
        <w:pStyle w:val="Prrafodelista"/>
        <w:rPr>
          <w:rFonts w:ascii="Verdana" w:hAnsi="Verdana"/>
          <w:sz w:val="20"/>
          <w:szCs w:val="20"/>
        </w:rPr>
      </w:pPr>
    </w:p>
    <w:p w14:paraId="2118309C" w14:textId="77777777" w:rsidR="00734CB9" w:rsidRDefault="00734CB9" w:rsidP="00734CB9">
      <w:pPr>
        <w:pStyle w:val="Prrafodelista"/>
        <w:numPr>
          <w:ilvl w:val="0"/>
          <w:numId w:val="98"/>
        </w:numPr>
        <w:ind w:left="567" w:hanging="567"/>
        <w:jc w:val="both"/>
        <w:rPr>
          <w:rFonts w:ascii="Verdana" w:hAnsi="Verdana"/>
          <w:sz w:val="20"/>
          <w:szCs w:val="20"/>
        </w:rPr>
      </w:pPr>
      <w:r w:rsidRPr="00734CB9">
        <w:rPr>
          <w:rFonts w:ascii="Verdana" w:hAnsi="Verdana"/>
          <w:sz w:val="20"/>
          <w:szCs w:val="20"/>
        </w:rPr>
        <w:t>Detalle del impacto de los derivados de tasa de interés en la medición del RTILB, tanto en términos del VEP como de MNI.</w:t>
      </w:r>
    </w:p>
    <w:p w14:paraId="380D8413" w14:textId="77777777" w:rsidR="00734CB9" w:rsidRPr="00734CB9" w:rsidRDefault="00734CB9" w:rsidP="00734CB9">
      <w:pPr>
        <w:pStyle w:val="Prrafodelista"/>
        <w:rPr>
          <w:rFonts w:ascii="Verdana" w:hAnsi="Verdana"/>
          <w:sz w:val="20"/>
          <w:szCs w:val="20"/>
        </w:rPr>
      </w:pPr>
    </w:p>
    <w:p w14:paraId="0C8208B1" w14:textId="77777777" w:rsidR="00734CB9" w:rsidRDefault="00734CB9" w:rsidP="00734CB9">
      <w:pPr>
        <w:pStyle w:val="Prrafodelista"/>
        <w:numPr>
          <w:ilvl w:val="0"/>
          <w:numId w:val="98"/>
        </w:numPr>
        <w:ind w:left="567" w:hanging="567"/>
        <w:jc w:val="both"/>
        <w:rPr>
          <w:rFonts w:ascii="Verdana" w:hAnsi="Verdana"/>
          <w:sz w:val="20"/>
          <w:szCs w:val="20"/>
        </w:rPr>
      </w:pPr>
      <w:r w:rsidRPr="00734CB9">
        <w:rPr>
          <w:rFonts w:ascii="Verdana" w:hAnsi="Verdana"/>
          <w:sz w:val="20"/>
          <w:szCs w:val="20"/>
        </w:rPr>
        <w:t>Resultados de las pruebas de estrés y pruebas de desempeño, según corresponda.</w:t>
      </w:r>
    </w:p>
    <w:p w14:paraId="739419E8" w14:textId="77777777" w:rsidR="00734CB9" w:rsidRPr="00734CB9" w:rsidRDefault="00734CB9" w:rsidP="00734CB9">
      <w:pPr>
        <w:pStyle w:val="Prrafodelista"/>
        <w:rPr>
          <w:rFonts w:ascii="Verdana" w:hAnsi="Verdana"/>
          <w:sz w:val="20"/>
          <w:szCs w:val="20"/>
        </w:rPr>
      </w:pPr>
    </w:p>
    <w:p w14:paraId="62AA6233" w14:textId="52F7EE69" w:rsidR="00734CB9" w:rsidRPr="00734CB9" w:rsidRDefault="00734CB9" w:rsidP="00734CB9">
      <w:pPr>
        <w:pStyle w:val="Prrafodelista"/>
        <w:numPr>
          <w:ilvl w:val="0"/>
          <w:numId w:val="98"/>
        </w:numPr>
        <w:ind w:left="567" w:hanging="567"/>
        <w:jc w:val="both"/>
        <w:rPr>
          <w:rFonts w:ascii="Verdana" w:hAnsi="Verdana"/>
          <w:sz w:val="20"/>
          <w:szCs w:val="20"/>
        </w:rPr>
      </w:pPr>
      <w:r w:rsidRPr="00734CB9">
        <w:rPr>
          <w:rFonts w:ascii="Verdana" w:hAnsi="Verdana"/>
          <w:sz w:val="20"/>
          <w:szCs w:val="20"/>
        </w:rPr>
        <w:t>Resumen de la revisión de las políticas, los procedimientos y la adecuación de los sistemas de medición del RTILB, incluidas las mejoras generadas a partir de los hallazgos de los auditores internos, revisoría fiscal, auditores externos y de los expertos independientes.</w:t>
      </w:r>
    </w:p>
    <w:p w14:paraId="12754798" w14:textId="77777777" w:rsidR="00E54D2C" w:rsidRPr="00E54D2C" w:rsidRDefault="00E54D2C" w:rsidP="00E54D2C">
      <w:pPr>
        <w:spacing w:after="0"/>
        <w:jc w:val="both"/>
        <w:rPr>
          <w:rFonts w:ascii="Verdana" w:hAnsi="Verdana"/>
          <w:sz w:val="20"/>
          <w:szCs w:val="20"/>
        </w:rPr>
      </w:pPr>
      <w:r w:rsidRPr="00E54D2C">
        <w:rPr>
          <w:rFonts w:ascii="Verdana" w:hAnsi="Verdana"/>
          <w:sz w:val="20"/>
          <w:szCs w:val="20"/>
        </w:rPr>
        <w:t>1.1.2.36</w:t>
      </w:r>
      <w:r>
        <w:rPr>
          <w:rFonts w:ascii="Verdana" w:hAnsi="Verdana"/>
          <w:sz w:val="20"/>
          <w:szCs w:val="20"/>
        </w:rPr>
        <w:t>6</w:t>
      </w:r>
      <w:r w:rsidRPr="00E54D2C">
        <w:rPr>
          <w:rFonts w:ascii="Verdana" w:hAnsi="Verdana"/>
          <w:sz w:val="20"/>
          <w:szCs w:val="20"/>
        </w:rPr>
        <w:t>.</w:t>
      </w:r>
    </w:p>
    <w:p w14:paraId="17A37F66" w14:textId="77777777" w:rsidR="001B27B5" w:rsidRPr="00E54D2C" w:rsidRDefault="008448F0" w:rsidP="001B27B5">
      <w:pPr>
        <w:jc w:val="both"/>
        <w:rPr>
          <w:rFonts w:ascii="Verdana" w:hAnsi="Verdana"/>
          <w:sz w:val="20"/>
          <w:szCs w:val="20"/>
        </w:rPr>
      </w:pPr>
      <w:r w:rsidRPr="008448F0">
        <w:rPr>
          <w:rFonts w:ascii="Verdana" w:hAnsi="Verdana"/>
          <w:sz w:val="20"/>
          <w:szCs w:val="20"/>
        </w:rPr>
        <w:t>Sobre la base de estos informes, la AG y la JD deberán evaluar la sensibilidad de la entidad a los cambios en las condiciones del mercado y otros factores de riesgo importantes</w:t>
      </w:r>
      <w:r w:rsidR="001B27B5" w:rsidRPr="00394325">
        <w:rPr>
          <w:rFonts w:ascii="Verdana" w:hAnsi="Verdana"/>
          <w:sz w:val="20"/>
          <w:szCs w:val="20"/>
        </w:rPr>
        <w:t>.</w:t>
      </w:r>
    </w:p>
    <w:p w14:paraId="765B3914" w14:textId="3CC6EB0C" w:rsidR="001B27B5" w:rsidRPr="00732E97" w:rsidRDefault="001B27B5" w:rsidP="001B27B5">
      <w:pPr>
        <w:pStyle w:val="Prrafodelista"/>
        <w:numPr>
          <w:ilvl w:val="0"/>
          <w:numId w:val="2"/>
        </w:numPr>
        <w:ind w:left="284" w:hanging="284"/>
        <w:jc w:val="both"/>
        <w:rPr>
          <w:rFonts w:ascii="Verdana" w:hAnsi="Verdana"/>
          <w:b/>
          <w:bCs/>
          <w:sz w:val="20"/>
          <w:szCs w:val="20"/>
        </w:rPr>
      </w:pPr>
      <w:r>
        <w:rPr>
          <w:rFonts w:ascii="Verdana" w:hAnsi="Verdana"/>
          <w:b/>
          <w:bCs/>
          <w:sz w:val="20"/>
          <w:szCs w:val="20"/>
        </w:rPr>
        <w:t>Información para la SFC</w:t>
      </w:r>
    </w:p>
    <w:p w14:paraId="24A9A9FB" w14:textId="0242C387" w:rsidR="001B27B5" w:rsidRPr="00E54D2C" w:rsidRDefault="001B27B5" w:rsidP="001B27B5">
      <w:pPr>
        <w:spacing w:after="0"/>
        <w:jc w:val="both"/>
        <w:rPr>
          <w:rFonts w:ascii="Verdana" w:hAnsi="Verdana"/>
          <w:sz w:val="20"/>
          <w:szCs w:val="20"/>
        </w:rPr>
      </w:pPr>
      <w:r w:rsidRPr="00E54D2C">
        <w:rPr>
          <w:rFonts w:ascii="Verdana" w:hAnsi="Verdana"/>
          <w:sz w:val="20"/>
          <w:szCs w:val="20"/>
        </w:rPr>
        <w:t>1.1.2.36</w:t>
      </w:r>
      <w:r>
        <w:rPr>
          <w:rFonts w:ascii="Verdana" w:hAnsi="Verdana"/>
          <w:sz w:val="20"/>
          <w:szCs w:val="20"/>
        </w:rPr>
        <w:t>7</w:t>
      </w:r>
      <w:r w:rsidRPr="00E54D2C">
        <w:rPr>
          <w:rFonts w:ascii="Verdana" w:hAnsi="Verdana"/>
          <w:sz w:val="20"/>
          <w:szCs w:val="20"/>
        </w:rPr>
        <w:t>.</w:t>
      </w:r>
    </w:p>
    <w:p w14:paraId="74B33C83" w14:textId="64F47677" w:rsidR="00CD666F" w:rsidRPr="00E54D2C" w:rsidRDefault="00262686" w:rsidP="00CD666F">
      <w:pPr>
        <w:jc w:val="both"/>
        <w:rPr>
          <w:rFonts w:ascii="Verdana" w:hAnsi="Verdana"/>
          <w:sz w:val="20"/>
          <w:szCs w:val="20"/>
        </w:rPr>
      </w:pPr>
      <w:r>
        <w:rPr>
          <w:rFonts w:ascii="Verdana" w:hAnsi="Verdana"/>
          <w:sz w:val="20"/>
          <w:szCs w:val="20"/>
        </w:rPr>
        <w:t>Todas l</w:t>
      </w:r>
      <w:r w:rsidR="00CD666F" w:rsidRPr="00CD666F">
        <w:rPr>
          <w:rFonts w:ascii="Verdana" w:hAnsi="Verdana"/>
          <w:sz w:val="20"/>
          <w:szCs w:val="20"/>
        </w:rPr>
        <w:t>a</w:t>
      </w:r>
      <w:r>
        <w:rPr>
          <w:rFonts w:ascii="Verdana" w:hAnsi="Verdana"/>
          <w:sz w:val="20"/>
          <w:szCs w:val="20"/>
        </w:rPr>
        <w:t>s</w:t>
      </w:r>
      <w:r w:rsidR="00CD666F" w:rsidRPr="00CD666F">
        <w:rPr>
          <w:rFonts w:ascii="Verdana" w:hAnsi="Verdana"/>
          <w:sz w:val="20"/>
          <w:szCs w:val="20"/>
        </w:rPr>
        <w:t xml:space="preserve"> entidad</w:t>
      </w:r>
      <w:r>
        <w:rPr>
          <w:rFonts w:ascii="Verdana" w:hAnsi="Verdana"/>
          <w:sz w:val="20"/>
          <w:szCs w:val="20"/>
        </w:rPr>
        <w:t>es</w:t>
      </w:r>
      <w:r w:rsidR="00CD666F" w:rsidRPr="00CD666F">
        <w:rPr>
          <w:rFonts w:ascii="Verdana" w:hAnsi="Verdana"/>
          <w:sz w:val="20"/>
          <w:szCs w:val="20"/>
        </w:rPr>
        <w:t xml:space="preserve"> debe</w:t>
      </w:r>
      <w:r w:rsidR="00C032AF">
        <w:rPr>
          <w:rFonts w:ascii="Verdana" w:hAnsi="Verdana"/>
          <w:sz w:val="20"/>
          <w:szCs w:val="20"/>
        </w:rPr>
        <w:t>n</w:t>
      </w:r>
      <w:r w:rsidR="00CD666F" w:rsidRPr="00CD666F">
        <w:rPr>
          <w:rFonts w:ascii="Verdana" w:hAnsi="Verdana"/>
          <w:sz w:val="20"/>
          <w:szCs w:val="20"/>
        </w:rPr>
        <w:t xml:space="preserve"> reportar la información de las proformas: “Mapeo de los flujos en las bandas de tiempo para los instrumentos sensibles al RTILB” y “Escenarios de choques de tasa de interés para el Valor Económico del Patrimonio (VEP) y el Margen Neto de Intereses (MNI)”, así como la información cualitativa y otros informes que sean requeridos</w:t>
      </w:r>
      <w:r w:rsidR="00CD666F" w:rsidRPr="00394325">
        <w:rPr>
          <w:rFonts w:ascii="Verdana" w:hAnsi="Verdana"/>
          <w:sz w:val="20"/>
          <w:szCs w:val="20"/>
        </w:rPr>
        <w:t>.</w:t>
      </w:r>
    </w:p>
    <w:p w14:paraId="1B257237" w14:textId="52294791" w:rsidR="00CD666F" w:rsidRPr="00732E97" w:rsidRDefault="00CD666F" w:rsidP="00CD666F">
      <w:pPr>
        <w:pStyle w:val="Prrafodelista"/>
        <w:numPr>
          <w:ilvl w:val="0"/>
          <w:numId w:val="2"/>
        </w:numPr>
        <w:ind w:left="284" w:hanging="284"/>
        <w:jc w:val="both"/>
        <w:rPr>
          <w:rFonts w:ascii="Verdana" w:hAnsi="Verdana"/>
          <w:b/>
          <w:bCs/>
          <w:sz w:val="20"/>
          <w:szCs w:val="20"/>
        </w:rPr>
      </w:pPr>
      <w:r>
        <w:rPr>
          <w:rFonts w:ascii="Verdana" w:hAnsi="Verdana"/>
          <w:b/>
          <w:bCs/>
          <w:sz w:val="20"/>
          <w:szCs w:val="20"/>
        </w:rPr>
        <w:t>Información externa</w:t>
      </w:r>
    </w:p>
    <w:p w14:paraId="069B6EF1" w14:textId="108FB931" w:rsidR="00CD666F" w:rsidRPr="00E54D2C" w:rsidRDefault="00CD666F" w:rsidP="00CD666F">
      <w:pPr>
        <w:spacing w:after="0"/>
        <w:jc w:val="both"/>
        <w:rPr>
          <w:rFonts w:ascii="Verdana" w:hAnsi="Verdana"/>
          <w:sz w:val="20"/>
          <w:szCs w:val="20"/>
        </w:rPr>
      </w:pPr>
      <w:r w:rsidRPr="00E54D2C">
        <w:rPr>
          <w:rFonts w:ascii="Verdana" w:hAnsi="Verdana"/>
          <w:sz w:val="20"/>
          <w:szCs w:val="20"/>
        </w:rPr>
        <w:t>1.1.2.36</w:t>
      </w:r>
      <w:r>
        <w:rPr>
          <w:rFonts w:ascii="Verdana" w:hAnsi="Verdana"/>
          <w:sz w:val="20"/>
          <w:szCs w:val="20"/>
        </w:rPr>
        <w:t>8</w:t>
      </w:r>
      <w:r w:rsidRPr="00E54D2C">
        <w:rPr>
          <w:rFonts w:ascii="Verdana" w:hAnsi="Verdana"/>
          <w:sz w:val="20"/>
          <w:szCs w:val="20"/>
        </w:rPr>
        <w:t>.</w:t>
      </w:r>
    </w:p>
    <w:p w14:paraId="3848556E" w14:textId="68662671" w:rsidR="00E54D2C" w:rsidRPr="00E54D2C" w:rsidRDefault="004B3461" w:rsidP="00CD666F">
      <w:pPr>
        <w:jc w:val="both"/>
        <w:rPr>
          <w:rFonts w:ascii="Verdana" w:hAnsi="Verdana"/>
          <w:sz w:val="20"/>
          <w:szCs w:val="20"/>
        </w:rPr>
      </w:pPr>
      <w:r w:rsidRPr="004B3461">
        <w:rPr>
          <w:rFonts w:ascii="Verdana" w:hAnsi="Verdana"/>
          <w:sz w:val="20"/>
          <w:szCs w:val="20"/>
        </w:rPr>
        <w:t xml:space="preserve">En línea con </w:t>
      </w:r>
      <w:r w:rsidR="00662E05">
        <w:rPr>
          <w:rFonts w:ascii="Verdana" w:hAnsi="Verdana"/>
          <w:sz w:val="20"/>
          <w:szCs w:val="20"/>
        </w:rPr>
        <w:t>lo previsto entre los párrafos 1.1.2.364</w:t>
      </w:r>
      <w:r w:rsidR="001D2087">
        <w:rPr>
          <w:rFonts w:ascii="Verdana" w:hAnsi="Verdana"/>
          <w:sz w:val="20"/>
          <w:szCs w:val="20"/>
        </w:rPr>
        <w:t xml:space="preserve">. y 1.1.2.368., así como en </w:t>
      </w:r>
      <w:r w:rsidR="009B3721">
        <w:rPr>
          <w:rFonts w:ascii="Verdana" w:hAnsi="Verdana"/>
          <w:sz w:val="20"/>
          <w:szCs w:val="20"/>
        </w:rPr>
        <w:t xml:space="preserve">el párrafo </w:t>
      </w:r>
      <w:r w:rsidR="00FA4175">
        <w:rPr>
          <w:rFonts w:ascii="Verdana" w:hAnsi="Verdana"/>
          <w:sz w:val="20"/>
          <w:szCs w:val="20"/>
        </w:rPr>
        <w:t xml:space="preserve">1.1.1.62. de la </w:t>
      </w:r>
      <w:r w:rsidR="00F5486D">
        <w:rPr>
          <w:rFonts w:ascii="Verdana" w:hAnsi="Verdana"/>
          <w:sz w:val="20"/>
          <w:szCs w:val="20"/>
        </w:rPr>
        <w:t>CBF</w:t>
      </w:r>
      <w:r w:rsidR="00FA4175">
        <w:rPr>
          <w:rFonts w:ascii="Verdana" w:hAnsi="Verdana"/>
          <w:sz w:val="20"/>
          <w:szCs w:val="20"/>
        </w:rPr>
        <w:t>,</w:t>
      </w:r>
      <w:r w:rsidRPr="004B3461">
        <w:rPr>
          <w:rFonts w:ascii="Verdana" w:hAnsi="Verdana"/>
          <w:sz w:val="20"/>
          <w:szCs w:val="20"/>
        </w:rPr>
        <w:t xml:space="preserve"> la entidad debe publicar en su página web y en los reportes sobre la gestión de riesgos, la información financiera relacionada con las medidas cuantitativas y de carácter cualitativo que permita al mercado y al público en general:</w:t>
      </w:r>
    </w:p>
    <w:p w14:paraId="28B92364" w14:textId="77777777" w:rsidR="00530AD0" w:rsidRDefault="00530AD0" w:rsidP="00530AD0">
      <w:pPr>
        <w:pStyle w:val="Prrafodelista"/>
        <w:numPr>
          <w:ilvl w:val="0"/>
          <w:numId w:val="99"/>
        </w:numPr>
        <w:spacing w:after="0"/>
        <w:ind w:left="567" w:hanging="567"/>
        <w:jc w:val="both"/>
        <w:rPr>
          <w:rFonts w:ascii="Verdana" w:hAnsi="Verdana"/>
          <w:sz w:val="20"/>
          <w:szCs w:val="20"/>
        </w:rPr>
      </w:pPr>
      <w:r w:rsidRPr="00530AD0">
        <w:rPr>
          <w:rFonts w:ascii="Verdana" w:hAnsi="Verdana"/>
          <w:sz w:val="20"/>
          <w:szCs w:val="20"/>
        </w:rPr>
        <w:t>Monitorear la sensibilidad del valor económico y las ganancias de las entidades a los cambios en las tasas de interés.</w:t>
      </w:r>
    </w:p>
    <w:p w14:paraId="5719CAFA" w14:textId="77777777" w:rsidR="00530AD0" w:rsidRDefault="00530AD0" w:rsidP="00530AD0">
      <w:pPr>
        <w:pStyle w:val="Prrafodelista"/>
        <w:spacing w:after="0"/>
        <w:ind w:left="567"/>
        <w:jc w:val="both"/>
        <w:rPr>
          <w:rFonts w:ascii="Verdana" w:hAnsi="Verdana"/>
          <w:sz w:val="20"/>
          <w:szCs w:val="20"/>
        </w:rPr>
      </w:pPr>
    </w:p>
    <w:p w14:paraId="204A343D" w14:textId="77777777" w:rsidR="00530AD0" w:rsidRDefault="00530AD0" w:rsidP="00530AD0">
      <w:pPr>
        <w:pStyle w:val="Prrafodelista"/>
        <w:numPr>
          <w:ilvl w:val="0"/>
          <w:numId w:val="99"/>
        </w:numPr>
        <w:spacing w:after="0"/>
        <w:ind w:left="567" w:hanging="567"/>
        <w:jc w:val="both"/>
        <w:rPr>
          <w:rFonts w:ascii="Verdana" w:hAnsi="Verdana"/>
          <w:sz w:val="20"/>
          <w:szCs w:val="20"/>
        </w:rPr>
      </w:pPr>
      <w:r w:rsidRPr="00530AD0">
        <w:rPr>
          <w:rFonts w:ascii="Verdana" w:hAnsi="Verdana"/>
          <w:sz w:val="20"/>
          <w:szCs w:val="20"/>
        </w:rPr>
        <w:t>Revelar el impacto de las exclusiones o inclusiones de los márgenes comerciales y otros componentes del margen en el cálculo de los flujos de efectivo.</w:t>
      </w:r>
    </w:p>
    <w:p w14:paraId="59C2DBC7" w14:textId="77777777" w:rsidR="00530AD0" w:rsidRPr="00530AD0" w:rsidRDefault="00530AD0" w:rsidP="00530AD0">
      <w:pPr>
        <w:pStyle w:val="Prrafodelista"/>
        <w:rPr>
          <w:rFonts w:ascii="Verdana" w:hAnsi="Verdana"/>
          <w:sz w:val="20"/>
          <w:szCs w:val="20"/>
        </w:rPr>
      </w:pPr>
    </w:p>
    <w:p w14:paraId="29D6BCB7" w14:textId="77777777" w:rsidR="00530AD0" w:rsidRDefault="00530AD0" w:rsidP="00530AD0">
      <w:pPr>
        <w:pStyle w:val="Prrafodelista"/>
        <w:numPr>
          <w:ilvl w:val="0"/>
          <w:numId w:val="99"/>
        </w:numPr>
        <w:spacing w:after="0"/>
        <w:ind w:left="567" w:hanging="567"/>
        <w:jc w:val="both"/>
        <w:rPr>
          <w:rFonts w:ascii="Verdana" w:hAnsi="Verdana"/>
          <w:sz w:val="20"/>
          <w:szCs w:val="20"/>
        </w:rPr>
      </w:pPr>
      <w:r w:rsidRPr="00530AD0">
        <w:rPr>
          <w:rFonts w:ascii="Verdana" w:hAnsi="Verdana"/>
          <w:sz w:val="20"/>
          <w:szCs w:val="20"/>
        </w:rPr>
        <w:t>Comprender los supuestos principales subyacentes a la medición producida por su medición interna del riesgo, cuando corresponda.</w:t>
      </w:r>
    </w:p>
    <w:p w14:paraId="2E128A74" w14:textId="77777777" w:rsidR="00530AD0" w:rsidRPr="00530AD0" w:rsidRDefault="00530AD0" w:rsidP="00530AD0">
      <w:pPr>
        <w:pStyle w:val="Prrafodelista"/>
        <w:rPr>
          <w:rFonts w:ascii="Verdana" w:hAnsi="Verdana"/>
          <w:sz w:val="20"/>
          <w:szCs w:val="20"/>
        </w:rPr>
      </w:pPr>
    </w:p>
    <w:p w14:paraId="4A38A4FC" w14:textId="0399441D" w:rsidR="001B27B5" w:rsidRPr="00530AD0" w:rsidRDefault="00530AD0" w:rsidP="00530AD0">
      <w:pPr>
        <w:pStyle w:val="Prrafodelista"/>
        <w:numPr>
          <w:ilvl w:val="0"/>
          <w:numId w:val="99"/>
        </w:numPr>
        <w:spacing w:after="0"/>
        <w:ind w:left="567" w:hanging="567"/>
        <w:jc w:val="both"/>
        <w:rPr>
          <w:rFonts w:ascii="Verdana" w:hAnsi="Verdana"/>
          <w:sz w:val="20"/>
          <w:szCs w:val="20"/>
        </w:rPr>
      </w:pPr>
      <w:r w:rsidRPr="00530AD0">
        <w:rPr>
          <w:rFonts w:ascii="Verdana" w:hAnsi="Verdana"/>
          <w:sz w:val="20"/>
          <w:szCs w:val="20"/>
        </w:rPr>
        <w:lastRenderedPageBreak/>
        <w:t>Conocer el objetivo general y los resultados de la gestión de RTILB y de RSCLB que realiza la entidad.</w:t>
      </w:r>
    </w:p>
    <w:p w14:paraId="70FDFA73" w14:textId="77777777" w:rsidR="00530AD0" w:rsidRPr="00530AD0" w:rsidRDefault="00530AD0" w:rsidP="00E54D2C">
      <w:pPr>
        <w:spacing w:after="0"/>
        <w:jc w:val="both"/>
        <w:rPr>
          <w:rFonts w:ascii="Verdana" w:hAnsi="Verdana"/>
          <w:b/>
          <w:bCs/>
          <w:sz w:val="20"/>
          <w:szCs w:val="20"/>
        </w:rPr>
      </w:pPr>
    </w:p>
    <w:p w14:paraId="2F7858B1" w14:textId="40E7AA9D" w:rsidR="00530AD0" w:rsidRPr="00530AD0" w:rsidRDefault="00530AD0" w:rsidP="00E54D2C">
      <w:pPr>
        <w:spacing w:after="0"/>
        <w:jc w:val="both"/>
        <w:rPr>
          <w:rFonts w:ascii="Verdana" w:hAnsi="Verdana"/>
          <w:b/>
          <w:bCs/>
          <w:sz w:val="20"/>
          <w:szCs w:val="20"/>
        </w:rPr>
      </w:pPr>
      <w:r w:rsidRPr="00530AD0">
        <w:rPr>
          <w:rFonts w:ascii="Verdana" w:hAnsi="Verdana"/>
          <w:b/>
          <w:bCs/>
          <w:sz w:val="20"/>
          <w:szCs w:val="20"/>
        </w:rPr>
        <w:t>Documentación</w:t>
      </w:r>
    </w:p>
    <w:p w14:paraId="12890321" w14:textId="77777777" w:rsidR="00530AD0" w:rsidRDefault="00530AD0" w:rsidP="00E54D2C">
      <w:pPr>
        <w:spacing w:after="0"/>
        <w:jc w:val="both"/>
        <w:rPr>
          <w:rFonts w:ascii="Verdana" w:hAnsi="Verdana"/>
          <w:sz w:val="20"/>
          <w:szCs w:val="20"/>
        </w:rPr>
      </w:pPr>
    </w:p>
    <w:p w14:paraId="147EA814" w14:textId="078BB497" w:rsidR="00E54D2C" w:rsidRPr="00E54D2C" w:rsidRDefault="00E54D2C" w:rsidP="00E54D2C">
      <w:pPr>
        <w:spacing w:after="0"/>
        <w:jc w:val="both"/>
        <w:rPr>
          <w:rFonts w:ascii="Verdana" w:hAnsi="Verdana"/>
          <w:sz w:val="20"/>
          <w:szCs w:val="20"/>
        </w:rPr>
      </w:pPr>
      <w:r w:rsidRPr="00E54D2C">
        <w:rPr>
          <w:rFonts w:ascii="Verdana" w:hAnsi="Verdana"/>
          <w:sz w:val="20"/>
          <w:szCs w:val="20"/>
        </w:rPr>
        <w:t>1.1.2.36</w:t>
      </w:r>
      <w:r w:rsidR="00481039">
        <w:rPr>
          <w:rFonts w:ascii="Verdana" w:hAnsi="Verdana"/>
          <w:sz w:val="20"/>
          <w:szCs w:val="20"/>
        </w:rPr>
        <w:t>9</w:t>
      </w:r>
      <w:r w:rsidRPr="00E54D2C">
        <w:rPr>
          <w:rFonts w:ascii="Verdana" w:hAnsi="Verdana"/>
          <w:sz w:val="20"/>
          <w:szCs w:val="20"/>
        </w:rPr>
        <w:t>.</w:t>
      </w:r>
    </w:p>
    <w:p w14:paraId="5A02C18F" w14:textId="5C964D20" w:rsidR="00E54D2C" w:rsidRPr="00E54D2C" w:rsidRDefault="00481039" w:rsidP="00E54D2C">
      <w:pPr>
        <w:jc w:val="both"/>
        <w:rPr>
          <w:rFonts w:ascii="Verdana" w:hAnsi="Verdana"/>
          <w:sz w:val="20"/>
          <w:szCs w:val="20"/>
        </w:rPr>
      </w:pPr>
      <w:r w:rsidRPr="00481039">
        <w:rPr>
          <w:rFonts w:ascii="Verdana" w:hAnsi="Verdana"/>
          <w:sz w:val="20"/>
          <w:szCs w:val="20"/>
        </w:rPr>
        <w:t xml:space="preserve">En adición de lo establecido en </w:t>
      </w:r>
      <w:r w:rsidR="00E905CD">
        <w:rPr>
          <w:rFonts w:ascii="Verdana" w:hAnsi="Verdana"/>
          <w:sz w:val="20"/>
          <w:szCs w:val="20"/>
        </w:rPr>
        <w:t xml:space="preserve">los párrafos 1.1.1.63. y 1.1.1.64. de la </w:t>
      </w:r>
      <w:r w:rsidR="00F5486D">
        <w:rPr>
          <w:rFonts w:ascii="Verdana" w:hAnsi="Verdana"/>
          <w:sz w:val="20"/>
          <w:szCs w:val="20"/>
        </w:rPr>
        <w:t>CBF</w:t>
      </w:r>
      <w:r w:rsidR="00E905CD">
        <w:rPr>
          <w:rFonts w:ascii="Verdana" w:hAnsi="Verdana"/>
          <w:sz w:val="20"/>
          <w:szCs w:val="20"/>
        </w:rPr>
        <w:t>,</w:t>
      </w:r>
      <w:r w:rsidRPr="00481039">
        <w:rPr>
          <w:rFonts w:ascii="Verdana" w:hAnsi="Verdana"/>
          <w:sz w:val="20"/>
          <w:szCs w:val="20"/>
        </w:rPr>
        <w:t xml:space="preserve"> los responsables de la gestión del RTILB deben documentar los supuestos y variables relevantes del análisis interno en relación con el impacto de las diferentes fuentes de riesgo, así como la asignación de los flujos de efectivo para cada una de las posiciones de balance y de fuera de balance expuestas al RTILB y al RSCLB, medidas de mitigación, y resultados de la medición de estos riesgos. En el caso de las entidades con modelos internos no objetados se requiere además la documentación de las pruebas de desempeño y su proceso de validación. Estos elementos deben ser explicados a la JD, la AG y/o su área de gestión de riesgos. La documentación también debe incluir una descripción relacionada con los supuestos que puedan afectar potencialmente la estrategia de cobertura del RTILB de la entidad</w:t>
      </w:r>
      <w:r w:rsidR="00E54D2C" w:rsidRPr="00E54D2C">
        <w:rPr>
          <w:rFonts w:ascii="Verdana" w:hAnsi="Verdana"/>
          <w:sz w:val="20"/>
          <w:szCs w:val="20"/>
        </w:rPr>
        <w:t>.</w:t>
      </w:r>
    </w:p>
    <w:p w14:paraId="6CA0DCB6" w14:textId="77777777" w:rsidR="00E54D2C" w:rsidRPr="006D3D1F" w:rsidRDefault="00E54D2C" w:rsidP="006D3D1F">
      <w:pPr>
        <w:spacing w:after="0"/>
        <w:jc w:val="both"/>
        <w:rPr>
          <w:rFonts w:ascii="Verdana" w:hAnsi="Verdana"/>
          <w:sz w:val="20"/>
          <w:szCs w:val="20"/>
        </w:rPr>
      </w:pPr>
    </w:p>
    <w:sectPr w:rsidR="00E54D2C" w:rsidRPr="006D3D1F"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AD411" w14:textId="77777777" w:rsidR="00F04E2E" w:rsidRDefault="00F04E2E" w:rsidP="00057BF6">
      <w:pPr>
        <w:spacing w:after="0" w:line="240" w:lineRule="auto"/>
      </w:pPr>
      <w:r>
        <w:separator/>
      </w:r>
    </w:p>
  </w:endnote>
  <w:endnote w:type="continuationSeparator" w:id="0">
    <w:p w14:paraId="39948044" w14:textId="77777777" w:rsidR="00F04E2E" w:rsidRDefault="00F04E2E" w:rsidP="00057BF6">
      <w:pPr>
        <w:spacing w:after="0" w:line="240" w:lineRule="auto"/>
      </w:pPr>
      <w:r>
        <w:continuationSeparator/>
      </w:r>
    </w:p>
  </w:endnote>
  <w:endnote w:type="continuationNotice" w:id="1">
    <w:p w14:paraId="3573CF69" w14:textId="77777777" w:rsidR="00F04E2E" w:rsidRDefault="00F04E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5DD8E" w14:textId="77777777" w:rsidR="00F04E2E" w:rsidRDefault="00F04E2E" w:rsidP="00057BF6">
      <w:pPr>
        <w:spacing w:after="0" w:line="240" w:lineRule="auto"/>
      </w:pPr>
      <w:r>
        <w:separator/>
      </w:r>
    </w:p>
  </w:footnote>
  <w:footnote w:type="continuationSeparator" w:id="0">
    <w:p w14:paraId="27BF025C" w14:textId="77777777" w:rsidR="00F04E2E" w:rsidRDefault="00F04E2E" w:rsidP="00057BF6">
      <w:pPr>
        <w:spacing w:after="0" w:line="240" w:lineRule="auto"/>
      </w:pPr>
      <w:r>
        <w:continuationSeparator/>
      </w:r>
    </w:p>
  </w:footnote>
  <w:footnote w:type="continuationNotice" w:id="1">
    <w:p w14:paraId="1E6BB065" w14:textId="77777777" w:rsidR="00F04E2E" w:rsidRDefault="00F04E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507A9AAC"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635C"/>
    <w:multiLevelType w:val="hybridMultilevel"/>
    <w:tmpl w:val="18AE2E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05D2627"/>
    <w:multiLevelType w:val="hybridMultilevel"/>
    <w:tmpl w:val="BAE09960"/>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19B35BA"/>
    <w:multiLevelType w:val="hybridMultilevel"/>
    <w:tmpl w:val="C5E8C7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28677F9"/>
    <w:multiLevelType w:val="hybridMultilevel"/>
    <w:tmpl w:val="04047AD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29835C3"/>
    <w:multiLevelType w:val="hybridMultilevel"/>
    <w:tmpl w:val="C2F832E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4B42B91"/>
    <w:multiLevelType w:val="hybridMultilevel"/>
    <w:tmpl w:val="3F10D10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6E95482"/>
    <w:multiLevelType w:val="hybridMultilevel"/>
    <w:tmpl w:val="8146FC06"/>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2870D8"/>
    <w:multiLevelType w:val="hybridMultilevel"/>
    <w:tmpl w:val="84AA051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0056EE"/>
    <w:multiLevelType w:val="hybridMultilevel"/>
    <w:tmpl w:val="AA004BE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B1B3A97"/>
    <w:multiLevelType w:val="hybridMultilevel"/>
    <w:tmpl w:val="BF1E881C"/>
    <w:lvl w:ilvl="0" w:tplc="240A001B">
      <w:start w:val="1"/>
      <w:numFmt w:val="lowerRoman"/>
      <w:lvlText w:val="%1."/>
      <w:lvlJc w:val="righ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0" w15:restartNumberingAfterBreak="0">
    <w:nsid w:val="0B5454DC"/>
    <w:multiLevelType w:val="hybridMultilevel"/>
    <w:tmpl w:val="DF6CBB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C415C88"/>
    <w:multiLevelType w:val="hybridMultilevel"/>
    <w:tmpl w:val="23746242"/>
    <w:lvl w:ilvl="0" w:tplc="09F67BB2">
      <w:start w:val="1"/>
      <w:numFmt w:val="lowerRoman"/>
      <w:lvlText w:val="%1."/>
      <w:lvlJc w:val="left"/>
      <w:pPr>
        <w:ind w:left="720" w:hanging="360"/>
      </w:pPr>
      <w:rPr>
        <w:rFonts w:ascii="Arial" w:eastAsia="Arial"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0DE6681B"/>
    <w:multiLevelType w:val="hybridMultilevel"/>
    <w:tmpl w:val="C14647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0E272F4D"/>
    <w:multiLevelType w:val="hybridMultilevel"/>
    <w:tmpl w:val="DDAA57CA"/>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0E367156"/>
    <w:multiLevelType w:val="hybridMultilevel"/>
    <w:tmpl w:val="76589A1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0E690E56"/>
    <w:multiLevelType w:val="hybridMultilevel"/>
    <w:tmpl w:val="CBB2224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0F461E1C"/>
    <w:multiLevelType w:val="hybridMultilevel"/>
    <w:tmpl w:val="322AD22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02B648B"/>
    <w:multiLevelType w:val="hybridMultilevel"/>
    <w:tmpl w:val="7688DC1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53B313D"/>
    <w:multiLevelType w:val="hybridMultilevel"/>
    <w:tmpl w:val="482E69B8"/>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5517133"/>
    <w:multiLevelType w:val="hybridMultilevel"/>
    <w:tmpl w:val="EFA2C6A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16C07530"/>
    <w:multiLevelType w:val="hybridMultilevel"/>
    <w:tmpl w:val="B7CA43F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1DE74D66"/>
    <w:multiLevelType w:val="hybridMultilevel"/>
    <w:tmpl w:val="761EF91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1F7E60D4"/>
    <w:multiLevelType w:val="hybridMultilevel"/>
    <w:tmpl w:val="E404248C"/>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221234A0"/>
    <w:multiLevelType w:val="hybridMultilevel"/>
    <w:tmpl w:val="66F4267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2856F5E"/>
    <w:multiLevelType w:val="hybridMultilevel"/>
    <w:tmpl w:val="302C68D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22DE67FA"/>
    <w:multiLevelType w:val="hybridMultilevel"/>
    <w:tmpl w:val="5E429ED4"/>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34D0493"/>
    <w:multiLevelType w:val="hybridMultilevel"/>
    <w:tmpl w:val="F8C8BC34"/>
    <w:lvl w:ilvl="0" w:tplc="240A0003">
      <w:start w:val="1"/>
      <w:numFmt w:val="bullet"/>
      <w:lvlText w:val="o"/>
      <w:lvlJc w:val="left"/>
      <w:pPr>
        <w:ind w:left="360" w:hanging="360"/>
      </w:pPr>
      <w:rPr>
        <w:rFonts w:ascii="Courier New" w:hAnsi="Courier New" w:cs="Courier New" w:hint="default"/>
      </w:rPr>
    </w:lvl>
    <w:lvl w:ilvl="1" w:tplc="240A0005">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457503D"/>
    <w:multiLevelType w:val="hybridMultilevel"/>
    <w:tmpl w:val="15B8847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246D3005"/>
    <w:multiLevelType w:val="hybridMultilevel"/>
    <w:tmpl w:val="4B4AD712"/>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256429D3"/>
    <w:multiLevelType w:val="hybridMultilevel"/>
    <w:tmpl w:val="7DD0F6E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29986541"/>
    <w:multiLevelType w:val="hybridMultilevel"/>
    <w:tmpl w:val="76587F2A"/>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9D177EC"/>
    <w:multiLevelType w:val="hybridMultilevel"/>
    <w:tmpl w:val="E03E3D0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2ABD53A0"/>
    <w:multiLevelType w:val="hybridMultilevel"/>
    <w:tmpl w:val="5CFE100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2DA66667"/>
    <w:multiLevelType w:val="hybridMultilevel"/>
    <w:tmpl w:val="6B8681B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2EAD61FA"/>
    <w:multiLevelType w:val="hybridMultilevel"/>
    <w:tmpl w:val="B7E2FC32"/>
    <w:lvl w:ilvl="0" w:tplc="BD808EDC">
      <w:start w:val="1"/>
      <w:numFmt w:val="lowerLetter"/>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2FA62C41"/>
    <w:multiLevelType w:val="hybridMultilevel"/>
    <w:tmpl w:val="6868F61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2FB037F7"/>
    <w:multiLevelType w:val="hybridMultilevel"/>
    <w:tmpl w:val="0A9206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04214DA"/>
    <w:multiLevelType w:val="hybridMultilevel"/>
    <w:tmpl w:val="0DF486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59B3DD0"/>
    <w:multiLevelType w:val="hybridMultilevel"/>
    <w:tmpl w:val="62D61E22"/>
    <w:lvl w:ilvl="0" w:tplc="240A0019">
      <w:start w:val="1"/>
      <w:numFmt w:val="lowerLetter"/>
      <w:lvlText w:val="%1."/>
      <w:lvlJc w:val="left"/>
      <w:pPr>
        <w:ind w:left="720" w:hanging="360"/>
      </w:pPr>
      <w:rPr>
        <w:rFonts w:hint="default"/>
      </w:rPr>
    </w:lvl>
    <w:lvl w:ilvl="1" w:tplc="240A001B">
      <w:start w:val="1"/>
      <w:numFmt w:val="lowerRoman"/>
      <w:lvlText w:val="%2."/>
      <w:lvlJc w:val="righ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60E0011"/>
    <w:multiLevelType w:val="hybridMultilevel"/>
    <w:tmpl w:val="866C62C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37643908"/>
    <w:multiLevelType w:val="hybridMultilevel"/>
    <w:tmpl w:val="03F6721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3E370AC0"/>
    <w:multiLevelType w:val="hybridMultilevel"/>
    <w:tmpl w:val="E240725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3FD16F28"/>
    <w:multiLevelType w:val="hybridMultilevel"/>
    <w:tmpl w:val="F252E07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3FD5030E"/>
    <w:multiLevelType w:val="hybridMultilevel"/>
    <w:tmpl w:val="495A6E9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42307342"/>
    <w:multiLevelType w:val="hybridMultilevel"/>
    <w:tmpl w:val="009A8BEC"/>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431A7C17"/>
    <w:multiLevelType w:val="hybridMultilevel"/>
    <w:tmpl w:val="AA169EA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47F0328"/>
    <w:multiLevelType w:val="hybridMultilevel"/>
    <w:tmpl w:val="4884811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45F50DC7"/>
    <w:multiLevelType w:val="hybridMultilevel"/>
    <w:tmpl w:val="E388817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4755437F"/>
    <w:multiLevelType w:val="hybridMultilevel"/>
    <w:tmpl w:val="56D6A486"/>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49A922AD"/>
    <w:multiLevelType w:val="hybridMultilevel"/>
    <w:tmpl w:val="E38E7C5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49B564CF"/>
    <w:multiLevelType w:val="hybridMultilevel"/>
    <w:tmpl w:val="D732587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4C4822C4"/>
    <w:multiLevelType w:val="hybridMultilevel"/>
    <w:tmpl w:val="D0D8AE0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4C8B2347"/>
    <w:multiLevelType w:val="hybridMultilevel"/>
    <w:tmpl w:val="15CC95A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4D876D9C"/>
    <w:multiLevelType w:val="hybridMultilevel"/>
    <w:tmpl w:val="B5621C3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4E850288"/>
    <w:multiLevelType w:val="hybridMultilevel"/>
    <w:tmpl w:val="7264027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4ED21301"/>
    <w:multiLevelType w:val="hybridMultilevel"/>
    <w:tmpl w:val="8D4E845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4ED5105F"/>
    <w:multiLevelType w:val="hybridMultilevel"/>
    <w:tmpl w:val="AE10465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4EDF0274"/>
    <w:multiLevelType w:val="hybridMultilevel"/>
    <w:tmpl w:val="F06E383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4FC213DF"/>
    <w:multiLevelType w:val="hybridMultilevel"/>
    <w:tmpl w:val="09C41858"/>
    <w:lvl w:ilvl="0" w:tplc="A2D2C1AA">
      <w:start w:val="1"/>
      <w:numFmt w:val="lowerRoman"/>
      <w:lvlText w:val="%1."/>
      <w:lvlJc w:val="left"/>
      <w:pPr>
        <w:ind w:left="1287" w:hanging="360"/>
      </w:pPr>
      <w:rPr>
        <w:rFonts w:cs="Times New Roman" w:hint="default"/>
      </w:r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59" w15:restartNumberingAfterBreak="0">
    <w:nsid w:val="5243170F"/>
    <w:multiLevelType w:val="hybridMultilevel"/>
    <w:tmpl w:val="F81041F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525A1BA0"/>
    <w:multiLevelType w:val="hybridMultilevel"/>
    <w:tmpl w:val="D6AC167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55D51CF1"/>
    <w:multiLevelType w:val="hybridMultilevel"/>
    <w:tmpl w:val="774C34E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56606BF0"/>
    <w:multiLevelType w:val="hybridMultilevel"/>
    <w:tmpl w:val="67B4D682"/>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566A71F0"/>
    <w:multiLevelType w:val="hybridMultilevel"/>
    <w:tmpl w:val="92C2836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56C62CB6"/>
    <w:multiLevelType w:val="hybridMultilevel"/>
    <w:tmpl w:val="79F87C5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57EB2DA3"/>
    <w:multiLevelType w:val="hybridMultilevel"/>
    <w:tmpl w:val="EFF8B5D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6" w15:restartNumberingAfterBreak="0">
    <w:nsid w:val="583E1D13"/>
    <w:multiLevelType w:val="hybridMultilevel"/>
    <w:tmpl w:val="412A698A"/>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7" w15:restartNumberingAfterBreak="0">
    <w:nsid w:val="589B0A2D"/>
    <w:multiLevelType w:val="hybridMultilevel"/>
    <w:tmpl w:val="9EBE618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599F7B35"/>
    <w:multiLevelType w:val="hybridMultilevel"/>
    <w:tmpl w:val="B42A492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5B3B1D68"/>
    <w:multiLevelType w:val="hybridMultilevel"/>
    <w:tmpl w:val="B6962084"/>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0" w15:restartNumberingAfterBreak="0">
    <w:nsid w:val="5BBD33C1"/>
    <w:multiLevelType w:val="hybridMultilevel"/>
    <w:tmpl w:val="6C1245E6"/>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1" w15:restartNumberingAfterBreak="0">
    <w:nsid w:val="5CF90D8E"/>
    <w:multiLevelType w:val="hybridMultilevel"/>
    <w:tmpl w:val="9712FE6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5F0D4E0B"/>
    <w:multiLevelType w:val="hybridMultilevel"/>
    <w:tmpl w:val="D266116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3" w15:restartNumberingAfterBreak="0">
    <w:nsid w:val="621E53F5"/>
    <w:multiLevelType w:val="hybridMultilevel"/>
    <w:tmpl w:val="52169CB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62495525"/>
    <w:multiLevelType w:val="hybridMultilevel"/>
    <w:tmpl w:val="60900128"/>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63B013C8"/>
    <w:multiLevelType w:val="hybridMultilevel"/>
    <w:tmpl w:val="6A56F748"/>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643B73FB"/>
    <w:multiLevelType w:val="hybridMultilevel"/>
    <w:tmpl w:val="4E4ADA1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7" w15:restartNumberingAfterBreak="0">
    <w:nsid w:val="6492738F"/>
    <w:multiLevelType w:val="hybridMultilevel"/>
    <w:tmpl w:val="9354A360"/>
    <w:lvl w:ilvl="0" w:tplc="240A0003">
      <w:start w:val="1"/>
      <w:numFmt w:val="bullet"/>
      <w:lvlText w:val="o"/>
      <w:lvlJc w:val="left"/>
      <w:pPr>
        <w:ind w:left="720" w:hanging="360"/>
      </w:pPr>
      <w:rPr>
        <w:rFonts w:ascii="Courier New" w:hAnsi="Courier New" w:cs="Courier New" w:hint="default"/>
      </w:rPr>
    </w:lvl>
    <w:lvl w:ilvl="1" w:tplc="240A0005">
      <w:start w:val="1"/>
      <w:numFmt w:val="bullet"/>
      <w:lvlText w:val=""/>
      <w:lvlJc w:val="left"/>
      <w:pPr>
        <w:ind w:left="1440" w:hanging="360"/>
      </w:pPr>
      <w:rPr>
        <w:rFonts w:ascii="Wingdings" w:hAnsi="Wingding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65BA4AB4"/>
    <w:multiLevelType w:val="hybridMultilevel"/>
    <w:tmpl w:val="467A077A"/>
    <w:lvl w:ilvl="0" w:tplc="09F67BB2">
      <w:start w:val="1"/>
      <w:numFmt w:val="lowerRoman"/>
      <w:lvlText w:val="%1."/>
      <w:lvlJc w:val="left"/>
      <w:pPr>
        <w:ind w:left="720" w:hanging="360"/>
      </w:pPr>
      <w:rPr>
        <w:rFonts w:ascii="Arial" w:eastAsia="Arial"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673F3778"/>
    <w:multiLevelType w:val="hybridMultilevel"/>
    <w:tmpl w:val="66CE8E70"/>
    <w:lvl w:ilvl="0" w:tplc="B9AED7E0">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67962C93"/>
    <w:multiLevelType w:val="hybridMultilevel"/>
    <w:tmpl w:val="1C729FC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1" w15:restartNumberingAfterBreak="0">
    <w:nsid w:val="67C65B9E"/>
    <w:multiLevelType w:val="hybridMultilevel"/>
    <w:tmpl w:val="F212300E"/>
    <w:lvl w:ilvl="0" w:tplc="A2D2C1AA">
      <w:start w:val="1"/>
      <w:numFmt w:val="lowerRoman"/>
      <w:lvlText w:val="%1."/>
      <w:lvlJc w:val="left"/>
      <w:pPr>
        <w:ind w:left="1854" w:hanging="360"/>
      </w:pPr>
      <w:rPr>
        <w:rFonts w:cs="Times New Roman" w:hint="default"/>
      </w:r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82" w15:restartNumberingAfterBreak="0">
    <w:nsid w:val="67CB3020"/>
    <w:multiLevelType w:val="hybridMultilevel"/>
    <w:tmpl w:val="BAF2892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3" w15:restartNumberingAfterBreak="0">
    <w:nsid w:val="69967930"/>
    <w:multiLevelType w:val="hybridMultilevel"/>
    <w:tmpl w:val="156ACF3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4" w15:restartNumberingAfterBreak="0">
    <w:nsid w:val="6A533B25"/>
    <w:multiLevelType w:val="hybridMultilevel"/>
    <w:tmpl w:val="146859C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6C4F5A8F"/>
    <w:multiLevelType w:val="hybridMultilevel"/>
    <w:tmpl w:val="F4B8B950"/>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6" w15:restartNumberingAfterBreak="0">
    <w:nsid w:val="6CC341FF"/>
    <w:multiLevelType w:val="hybridMultilevel"/>
    <w:tmpl w:val="380EB8EE"/>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6CF530C9"/>
    <w:multiLevelType w:val="hybridMultilevel"/>
    <w:tmpl w:val="800A600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6DB0577D"/>
    <w:multiLevelType w:val="hybridMultilevel"/>
    <w:tmpl w:val="375EA27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9" w15:restartNumberingAfterBreak="0">
    <w:nsid w:val="6EDC4D1F"/>
    <w:multiLevelType w:val="hybridMultilevel"/>
    <w:tmpl w:val="B048686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0" w15:restartNumberingAfterBreak="0">
    <w:nsid w:val="6F1A0CB8"/>
    <w:multiLevelType w:val="hybridMultilevel"/>
    <w:tmpl w:val="8D30F92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1" w15:restartNumberingAfterBreak="0">
    <w:nsid w:val="700841AB"/>
    <w:multiLevelType w:val="hybridMultilevel"/>
    <w:tmpl w:val="9DA8CEE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2" w15:restartNumberingAfterBreak="0">
    <w:nsid w:val="77B3612C"/>
    <w:multiLevelType w:val="hybridMultilevel"/>
    <w:tmpl w:val="48A41F3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3" w15:restartNumberingAfterBreak="0">
    <w:nsid w:val="78261A8B"/>
    <w:multiLevelType w:val="hybridMultilevel"/>
    <w:tmpl w:val="46A0C59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4" w15:restartNumberingAfterBreak="0">
    <w:nsid w:val="78BF0ECB"/>
    <w:multiLevelType w:val="hybridMultilevel"/>
    <w:tmpl w:val="0E6CC0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5" w15:restartNumberingAfterBreak="0">
    <w:nsid w:val="799108EB"/>
    <w:multiLevelType w:val="hybridMultilevel"/>
    <w:tmpl w:val="0DF4869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6" w15:restartNumberingAfterBreak="0">
    <w:nsid w:val="79DC5299"/>
    <w:multiLevelType w:val="hybridMultilevel"/>
    <w:tmpl w:val="DB48DAB4"/>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7" w15:restartNumberingAfterBreak="0">
    <w:nsid w:val="79F4547F"/>
    <w:multiLevelType w:val="hybridMultilevel"/>
    <w:tmpl w:val="6DC8ECC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8" w15:restartNumberingAfterBreak="0">
    <w:nsid w:val="7B93049E"/>
    <w:multiLevelType w:val="hybridMultilevel"/>
    <w:tmpl w:val="AFE46A06"/>
    <w:lvl w:ilvl="0" w:tplc="A2D2C1AA">
      <w:start w:val="1"/>
      <w:numFmt w:val="lowerRoman"/>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9" w15:restartNumberingAfterBreak="0">
    <w:nsid w:val="7EEA1969"/>
    <w:multiLevelType w:val="hybridMultilevel"/>
    <w:tmpl w:val="8F78573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0" w15:restartNumberingAfterBreak="0">
    <w:nsid w:val="7F1C2515"/>
    <w:multiLevelType w:val="hybridMultilevel"/>
    <w:tmpl w:val="BCD6EE7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44211084">
    <w:abstractNumId w:val="39"/>
  </w:num>
  <w:num w:numId="2" w16cid:durableId="402602577">
    <w:abstractNumId w:val="99"/>
  </w:num>
  <w:num w:numId="3" w16cid:durableId="792140387">
    <w:abstractNumId w:val="84"/>
  </w:num>
  <w:num w:numId="4" w16cid:durableId="1462766358">
    <w:abstractNumId w:val="14"/>
  </w:num>
  <w:num w:numId="5" w16cid:durableId="297149384">
    <w:abstractNumId w:val="4"/>
  </w:num>
  <w:num w:numId="6" w16cid:durableId="1536190618">
    <w:abstractNumId w:val="26"/>
  </w:num>
  <w:num w:numId="7" w16cid:durableId="641272689">
    <w:abstractNumId w:val="32"/>
  </w:num>
  <w:num w:numId="8" w16cid:durableId="132406095">
    <w:abstractNumId w:val="5"/>
  </w:num>
  <w:num w:numId="9" w16cid:durableId="1134517951">
    <w:abstractNumId w:val="13"/>
  </w:num>
  <w:num w:numId="10" w16cid:durableId="621809307">
    <w:abstractNumId w:val="3"/>
  </w:num>
  <w:num w:numId="11" w16cid:durableId="1642811801">
    <w:abstractNumId w:val="88"/>
  </w:num>
  <w:num w:numId="12" w16cid:durableId="951594439">
    <w:abstractNumId w:val="96"/>
  </w:num>
  <w:num w:numId="13" w16cid:durableId="99690925">
    <w:abstractNumId w:val="18"/>
  </w:num>
  <w:num w:numId="14" w16cid:durableId="2147316819">
    <w:abstractNumId w:val="81"/>
  </w:num>
  <w:num w:numId="15" w16cid:durableId="746996869">
    <w:abstractNumId w:val="69"/>
  </w:num>
  <w:num w:numId="16" w16cid:durableId="745804812">
    <w:abstractNumId w:val="45"/>
  </w:num>
  <w:num w:numId="17" w16cid:durableId="1590456223">
    <w:abstractNumId w:val="100"/>
  </w:num>
  <w:num w:numId="18" w16cid:durableId="2122608299">
    <w:abstractNumId w:val="72"/>
  </w:num>
  <w:num w:numId="19" w16cid:durableId="576287802">
    <w:abstractNumId w:val="24"/>
  </w:num>
  <w:num w:numId="20" w16cid:durableId="709036395">
    <w:abstractNumId w:val="19"/>
  </w:num>
  <w:num w:numId="21" w16cid:durableId="676494634">
    <w:abstractNumId w:val="42"/>
  </w:num>
  <w:num w:numId="22" w16cid:durableId="2102530871">
    <w:abstractNumId w:val="67"/>
  </w:num>
  <w:num w:numId="23" w16cid:durableId="2001811574">
    <w:abstractNumId w:val="33"/>
  </w:num>
  <w:num w:numId="24" w16cid:durableId="1929381431">
    <w:abstractNumId w:val="80"/>
  </w:num>
  <w:num w:numId="25" w16cid:durableId="985085844">
    <w:abstractNumId w:val="56"/>
  </w:num>
  <w:num w:numId="26" w16cid:durableId="293490488">
    <w:abstractNumId w:val="58"/>
  </w:num>
  <w:num w:numId="27" w16cid:durableId="1462770101">
    <w:abstractNumId w:val="87"/>
  </w:num>
  <w:num w:numId="28" w16cid:durableId="424808437">
    <w:abstractNumId w:val="34"/>
  </w:num>
  <w:num w:numId="29" w16cid:durableId="1444884545">
    <w:abstractNumId w:val="57"/>
  </w:num>
  <w:num w:numId="30" w16cid:durableId="1796555965">
    <w:abstractNumId w:val="53"/>
  </w:num>
  <w:num w:numId="31" w16cid:durableId="589318934">
    <w:abstractNumId w:val="38"/>
  </w:num>
  <w:num w:numId="32" w16cid:durableId="182213115">
    <w:abstractNumId w:val="17"/>
  </w:num>
  <w:num w:numId="33" w16cid:durableId="2048530413">
    <w:abstractNumId w:val="16"/>
  </w:num>
  <w:num w:numId="34" w16cid:durableId="379676171">
    <w:abstractNumId w:val="0"/>
  </w:num>
  <w:num w:numId="35" w16cid:durableId="674918926">
    <w:abstractNumId w:val="82"/>
  </w:num>
  <w:num w:numId="36" w16cid:durableId="892891354">
    <w:abstractNumId w:val="97"/>
  </w:num>
  <w:num w:numId="37" w16cid:durableId="1084259659">
    <w:abstractNumId w:val="52"/>
  </w:num>
  <w:num w:numId="38" w16cid:durableId="645863693">
    <w:abstractNumId w:val="44"/>
  </w:num>
  <w:num w:numId="39" w16cid:durableId="889001127">
    <w:abstractNumId w:val="59"/>
  </w:num>
  <w:num w:numId="40" w16cid:durableId="1102144624">
    <w:abstractNumId w:val="85"/>
  </w:num>
  <w:num w:numId="41" w16cid:durableId="537859740">
    <w:abstractNumId w:val="46"/>
  </w:num>
  <w:num w:numId="42" w16cid:durableId="1466698459">
    <w:abstractNumId w:val="73"/>
  </w:num>
  <w:num w:numId="43" w16cid:durableId="2080975084">
    <w:abstractNumId w:val="30"/>
  </w:num>
  <w:num w:numId="44" w16cid:durableId="311832691">
    <w:abstractNumId w:val="10"/>
  </w:num>
  <w:num w:numId="45" w16cid:durableId="168300433">
    <w:abstractNumId w:val="68"/>
  </w:num>
  <w:num w:numId="46" w16cid:durableId="1945765090">
    <w:abstractNumId w:val="75"/>
  </w:num>
  <w:num w:numId="47" w16cid:durableId="2048408098">
    <w:abstractNumId w:val="28"/>
  </w:num>
  <w:num w:numId="48" w16cid:durableId="1431461987">
    <w:abstractNumId w:val="98"/>
  </w:num>
  <w:num w:numId="49" w16cid:durableId="1207794401">
    <w:abstractNumId w:val="15"/>
  </w:num>
  <w:num w:numId="50" w16cid:durableId="1479147765">
    <w:abstractNumId w:val="65"/>
  </w:num>
  <w:num w:numId="51" w16cid:durableId="545488325">
    <w:abstractNumId w:val="35"/>
  </w:num>
  <w:num w:numId="52" w16cid:durableId="1958364126">
    <w:abstractNumId w:val="91"/>
  </w:num>
  <w:num w:numId="53" w16cid:durableId="1075475294">
    <w:abstractNumId w:val="27"/>
  </w:num>
  <w:num w:numId="54" w16cid:durableId="689113658">
    <w:abstractNumId w:val="1"/>
  </w:num>
  <w:num w:numId="55" w16cid:durableId="822739223">
    <w:abstractNumId w:val="41"/>
  </w:num>
  <w:num w:numId="56" w16cid:durableId="1398748331">
    <w:abstractNumId w:val="64"/>
  </w:num>
  <w:num w:numId="57" w16cid:durableId="216742733">
    <w:abstractNumId w:val="29"/>
  </w:num>
  <w:num w:numId="58" w16cid:durableId="1208951280">
    <w:abstractNumId w:val="21"/>
  </w:num>
  <w:num w:numId="59" w16cid:durableId="833255947">
    <w:abstractNumId w:val="20"/>
  </w:num>
  <w:num w:numId="60" w16cid:durableId="1890609471">
    <w:abstractNumId w:val="60"/>
  </w:num>
  <w:num w:numId="61" w16cid:durableId="914705733">
    <w:abstractNumId w:val="11"/>
  </w:num>
  <w:num w:numId="62" w16cid:durableId="1533684634">
    <w:abstractNumId w:val="78"/>
  </w:num>
  <w:num w:numId="63" w16cid:durableId="2040353168">
    <w:abstractNumId w:val="70"/>
  </w:num>
  <w:num w:numId="64" w16cid:durableId="1890413206">
    <w:abstractNumId w:val="89"/>
  </w:num>
  <w:num w:numId="65" w16cid:durableId="514659293">
    <w:abstractNumId w:val="55"/>
  </w:num>
  <w:num w:numId="66" w16cid:durableId="795951882">
    <w:abstractNumId w:val="93"/>
  </w:num>
  <w:num w:numId="67" w16cid:durableId="1500804620">
    <w:abstractNumId w:val="86"/>
  </w:num>
  <w:num w:numId="68" w16cid:durableId="1110508329">
    <w:abstractNumId w:val="51"/>
  </w:num>
  <w:num w:numId="69" w16cid:durableId="152263454">
    <w:abstractNumId w:val="12"/>
  </w:num>
  <w:num w:numId="70" w16cid:durableId="2023506076">
    <w:abstractNumId w:val="62"/>
  </w:num>
  <w:num w:numId="71" w16cid:durableId="333146567">
    <w:abstractNumId w:val="71"/>
  </w:num>
  <w:num w:numId="72" w16cid:durableId="1387876102">
    <w:abstractNumId w:val="49"/>
  </w:num>
  <w:num w:numId="73" w16cid:durableId="1795323520">
    <w:abstractNumId w:val="79"/>
  </w:num>
  <w:num w:numId="74" w16cid:durableId="804733030">
    <w:abstractNumId w:val="61"/>
  </w:num>
  <w:num w:numId="75" w16cid:durableId="577323487">
    <w:abstractNumId w:val="8"/>
  </w:num>
  <w:num w:numId="76" w16cid:durableId="1692142598">
    <w:abstractNumId w:val="47"/>
  </w:num>
  <w:num w:numId="77" w16cid:durableId="1001812654">
    <w:abstractNumId w:val="66"/>
  </w:num>
  <w:num w:numId="78" w16cid:durableId="1368263257">
    <w:abstractNumId w:val="25"/>
  </w:num>
  <w:num w:numId="79" w16cid:durableId="365302486">
    <w:abstractNumId w:val="48"/>
  </w:num>
  <w:num w:numId="80" w16cid:durableId="511720025">
    <w:abstractNumId w:val="43"/>
  </w:num>
  <w:num w:numId="81" w16cid:durableId="2090686196">
    <w:abstractNumId w:val="36"/>
  </w:num>
  <w:num w:numId="82" w16cid:durableId="1528831095">
    <w:abstractNumId w:val="7"/>
  </w:num>
  <w:num w:numId="83" w16cid:durableId="1102723932">
    <w:abstractNumId w:val="94"/>
  </w:num>
  <w:num w:numId="84" w16cid:durableId="1761755552">
    <w:abstractNumId w:val="50"/>
  </w:num>
  <w:num w:numId="85" w16cid:durableId="1860195771">
    <w:abstractNumId w:val="76"/>
  </w:num>
  <w:num w:numId="86" w16cid:durableId="302197266">
    <w:abstractNumId w:val="31"/>
  </w:num>
  <w:num w:numId="87" w16cid:durableId="869679960">
    <w:abstractNumId w:val="90"/>
  </w:num>
  <w:num w:numId="88" w16cid:durableId="1781219974">
    <w:abstractNumId w:val="95"/>
  </w:num>
  <w:num w:numId="89" w16cid:durableId="2137596723">
    <w:abstractNumId w:val="6"/>
  </w:num>
  <w:num w:numId="90" w16cid:durableId="896478868">
    <w:abstractNumId w:val="22"/>
  </w:num>
  <w:num w:numId="91" w16cid:durableId="333610136">
    <w:abstractNumId w:val="37"/>
  </w:num>
  <w:num w:numId="92" w16cid:durableId="1192454398">
    <w:abstractNumId w:val="23"/>
  </w:num>
  <w:num w:numId="93" w16cid:durableId="2007634200">
    <w:abstractNumId w:val="40"/>
  </w:num>
  <w:num w:numId="94" w16cid:durableId="1528254915">
    <w:abstractNumId w:val="74"/>
  </w:num>
  <w:num w:numId="95" w16cid:durableId="200821280">
    <w:abstractNumId w:val="83"/>
  </w:num>
  <w:num w:numId="96" w16cid:durableId="558714229">
    <w:abstractNumId w:val="63"/>
  </w:num>
  <w:num w:numId="97" w16cid:durableId="117721909">
    <w:abstractNumId w:val="2"/>
  </w:num>
  <w:num w:numId="98" w16cid:durableId="1965844689">
    <w:abstractNumId w:val="92"/>
  </w:num>
  <w:num w:numId="99" w16cid:durableId="1373575314">
    <w:abstractNumId w:val="54"/>
  </w:num>
  <w:num w:numId="100" w16cid:durableId="1759402302">
    <w:abstractNumId w:val="77"/>
  </w:num>
  <w:num w:numId="101" w16cid:durableId="1921018973">
    <w:abstractNumId w:val="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0872"/>
    <w:rsid w:val="000011C8"/>
    <w:rsid w:val="000019F5"/>
    <w:rsid w:val="000023A5"/>
    <w:rsid w:val="00002C7F"/>
    <w:rsid w:val="00003E6A"/>
    <w:rsid w:val="00003F10"/>
    <w:rsid w:val="00003F6D"/>
    <w:rsid w:val="00004022"/>
    <w:rsid w:val="00004C6E"/>
    <w:rsid w:val="00004E76"/>
    <w:rsid w:val="00005E6D"/>
    <w:rsid w:val="00005E93"/>
    <w:rsid w:val="00005FAB"/>
    <w:rsid w:val="00006B20"/>
    <w:rsid w:val="00007259"/>
    <w:rsid w:val="00007D5F"/>
    <w:rsid w:val="00007FFD"/>
    <w:rsid w:val="00010C1B"/>
    <w:rsid w:val="0001108E"/>
    <w:rsid w:val="00011B94"/>
    <w:rsid w:val="0001220B"/>
    <w:rsid w:val="0001256D"/>
    <w:rsid w:val="00012572"/>
    <w:rsid w:val="000128D6"/>
    <w:rsid w:val="00012CCC"/>
    <w:rsid w:val="00013354"/>
    <w:rsid w:val="0001344B"/>
    <w:rsid w:val="000142AB"/>
    <w:rsid w:val="000154C0"/>
    <w:rsid w:val="00016444"/>
    <w:rsid w:val="00016DE1"/>
    <w:rsid w:val="0001779E"/>
    <w:rsid w:val="000206AA"/>
    <w:rsid w:val="000209E8"/>
    <w:rsid w:val="00021155"/>
    <w:rsid w:val="00021CE0"/>
    <w:rsid w:val="000244FD"/>
    <w:rsid w:val="00027ABD"/>
    <w:rsid w:val="00030902"/>
    <w:rsid w:val="00032055"/>
    <w:rsid w:val="0003263B"/>
    <w:rsid w:val="000339D3"/>
    <w:rsid w:val="000344BA"/>
    <w:rsid w:val="000344CA"/>
    <w:rsid w:val="00035654"/>
    <w:rsid w:val="00036BFD"/>
    <w:rsid w:val="00037E49"/>
    <w:rsid w:val="00040226"/>
    <w:rsid w:val="000404CD"/>
    <w:rsid w:val="000405B8"/>
    <w:rsid w:val="000409FA"/>
    <w:rsid w:val="000410EC"/>
    <w:rsid w:val="00042A82"/>
    <w:rsid w:val="0004323A"/>
    <w:rsid w:val="00044BE4"/>
    <w:rsid w:val="000456AD"/>
    <w:rsid w:val="000468FF"/>
    <w:rsid w:val="00047F10"/>
    <w:rsid w:val="0005075E"/>
    <w:rsid w:val="00050CA4"/>
    <w:rsid w:val="00051206"/>
    <w:rsid w:val="00051C7D"/>
    <w:rsid w:val="00051FDE"/>
    <w:rsid w:val="00053260"/>
    <w:rsid w:val="000539E4"/>
    <w:rsid w:val="00055CBA"/>
    <w:rsid w:val="00055D92"/>
    <w:rsid w:val="000567DA"/>
    <w:rsid w:val="000571DA"/>
    <w:rsid w:val="00057BE9"/>
    <w:rsid w:val="00057BF6"/>
    <w:rsid w:val="00060454"/>
    <w:rsid w:val="00061706"/>
    <w:rsid w:val="00063335"/>
    <w:rsid w:val="00063DB1"/>
    <w:rsid w:val="0006427D"/>
    <w:rsid w:val="00064CB1"/>
    <w:rsid w:val="00064FC1"/>
    <w:rsid w:val="00065D63"/>
    <w:rsid w:val="00066470"/>
    <w:rsid w:val="00066B2F"/>
    <w:rsid w:val="0006736C"/>
    <w:rsid w:val="0006782A"/>
    <w:rsid w:val="000700D3"/>
    <w:rsid w:val="0007013E"/>
    <w:rsid w:val="0007093E"/>
    <w:rsid w:val="000734A7"/>
    <w:rsid w:val="00073829"/>
    <w:rsid w:val="00073FAF"/>
    <w:rsid w:val="00075279"/>
    <w:rsid w:val="0007593B"/>
    <w:rsid w:val="00076A58"/>
    <w:rsid w:val="00077284"/>
    <w:rsid w:val="000821C2"/>
    <w:rsid w:val="000822C4"/>
    <w:rsid w:val="0008239F"/>
    <w:rsid w:val="00082CB0"/>
    <w:rsid w:val="0008317B"/>
    <w:rsid w:val="000845B9"/>
    <w:rsid w:val="00085BFE"/>
    <w:rsid w:val="000865D3"/>
    <w:rsid w:val="00086CD3"/>
    <w:rsid w:val="00087208"/>
    <w:rsid w:val="00087EF4"/>
    <w:rsid w:val="00087F25"/>
    <w:rsid w:val="00091962"/>
    <w:rsid w:val="00093026"/>
    <w:rsid w:val="00093538"/>
    <w:rsid w:val="0009485C"/>
    <w:rsid w:val="000950C2"/>
    <w:rsid w:val="0009544D"/>
    <w:rsid w:val="00095872"/>
    <w:rsid w:val="0009619E"/>
    <w:rsid w:val="000970ED"/>
    <w:rsid w:val="00097191"/>
    <w:rsid w:val="000975F3"/>
    <w:rsid w:val="0009760F"/>
    <w:rsid w:val="0009774B"/>
    <w:rsid w:val="00097930"/>
    <w:rsid w:val="000A0212"/>
    <w:rsid w:val="000A059A"/>
    <w:rsid w:val="000A24C0"/>
    <w:rsid w:val="000A30B6"/>
    <w:rsid w:val="000A30D3"/>
    <w:rsid w:val="000A4246"/>
    <w:rsid w:val="000A5090"/>
    <w:rsid w:val="000A648C"/>
    <w:rsid w:val="000B0080"/>
    <w:rsid w:val="000B28D8"/>
    <w:rsid w:val="000B2BDC"/>
    <w:rsid w:val="000B2D25"/>
    <w:rsid w:val="000B3234"/>
    <w:rsid w:val="000B3B3E"/>
    <w:rsid w:val="000B6F7E"/>
    <w:rsid w:val="000B7AEF"/>
    <w:rsid w:val="000B7F0B"/>
    <w:rsid w:val="000C0C27"/>
    <w:rsid w:val="000C1481"/>
    <w:rsid w:val="000C1E26"/>
    <w:rsid w:val="000C2CBF"/>
    <w:rsid w:val="000C48E8"/>
    <w:rsid w:val="000C532F"/>
    <w:rsid w:val="000C647B"/>
    <w:rsid w:val="000C6E5A"/>
    <w:rsid w:val="000C6FDC"/>
    <w:rsid w:val="000C7211"/>
    <w:rsid w:val="000D0360"/>
    <w:rsid w:val="000D09A4"/>
    <w:rsid w:val="000D1D43"/>
    <w:rsid w:val="000D284D"/>
    <w:rsid w:val="000D46B1"/>
    <w:rsid w:val="000D6A40"/>
    <w:rsid w:val="000D6A81"/>
    <w:rsid w:val="000D7984"/>
    <w:rsid w:val="000E02ED"/>
    <w:rsid w:val="000E062D"/>
    <w:rsid w:val="000E0919"/>
    <w:rsid w:val="000E0EA7"/>
    <w:rsid w:val="000E1C2D"/>
    <w:rsid w:val="000E2CE0"/>
    <w:rsid w:val="000E30F5"/>
    <w:rsid w:val="000E3244"/>
    <w:rsid w:val="000E3584"/>
    <w:rsid w:val="000E3B2A"/>
    <w:rsid w:val="000E4AF7"/>
    <w:rsid w:val="000E5548"/>
    <w:rsid w:val="000E5729"/>
    <w:rsid w:val="000E5BDB"/>
    <w:rsid w:val="000E5BFA"/>
    <w:rsid w:val="000E5DC8"/>
    <w:rsid w:val="000E5F4D"/>
    <w:rsid w:val="000E6273"/>
    <w:rsid w:val="000E6681"/>
    <w:rsid w:val="000E70DE"/>
    <w:rsid w:val="000E7553"/>
    <w:rsid w:val="000F003E"/>
    <w:rsid w:val="000F0108"/>
    <w:rsid w:val="000F3327"/>
    <w:rsid w:val="000F3D16"/>
    <w:rsid w:val="000F4D8A"/>
    <w:rsid w:val="000F5D6B"/>
    <w:rsid w:val="000F680A"/>
    <w:rsid w:val="000F7621"/>
    <w:rsid w:val="000F78C3"/>
    <w:rsid w:val="000F7EB4"/>
    <w:rsid w:val="001005A2"/>
    <w:rsid w:val="001010CB"/>
    <w:rsid w:val="00102C64"/>
    <w:rsid w:val="00103F59"/>
    <w:rsid w:val="001048C3"/>
    <w:rsid w:val="001049FC"/>
    <w:rsid w:val="00104C4E"/>
    <w:rsid w:val="001054DB"/>
    <w:rsid w:val="00106A87"/>
    <w:rsid w:val="00106ABF"/>
    <w:rsid w:val="00106C58"/>
    <w:rsid w:val="00106DD9"/>
    <w:rsid w:val="00107498"/>
    <w:rsid w:val="0011028A"/>
    <w:rsid w:val="00110E25"/>
    <w:rsid w:val="00111BD7"/>
    <w:rsid w:val="0011222A"/>
    <w:rsid w:val="00112662"/>
    <w:rsid w:val="0011326F"/>
    <w:rsid w:val="00113864"/>
    <w:rsid w:val="00113BA9"/>
    <w:rsid w:val="00115BBA"/>
    <w:rsid w:val="00117447"/>
    <w:rsid w:val="0011745B"/>
    <w:rsid w:val="00117B62"/>
    <w:rsid w:val="00120303"/>
    <w:rsid w:val="00120BC0"/>
    <w:rsid w:val="001243D4"/>
    <w:rsid w:val="00130906"/>
    <w:rsid w:val="001309F6"/>
    <w:rsid w:val="0013280F"/>
    <w:rsid w:val="00133D18"/>
    <w:rsid w:val="00133E94"/>
    <w:rsid w:val="00134E66"/>
    <w:rsid w:val="001353AA"/>
    <w:rsid w:val="00135444"/>
    <w:rsid w:val="00137CA9"/>
    <w:rsid w:val="00137F97"/>
    <w:rsid w:val="00141C15"/>
    <w:rsid w:val="00141EB6"/>
    <w:rsid w:val="00143528"/>
    <w:rsid w:val="00143C03"/>
    <w:rsid w:val="00143C58"/>
    <w:rsid w:val="00144B06"/>
    <w:rsid w:val="00144ED0"/>
    <w:rsid w:val="001461AC"/>
    <w:rsid w:val="00147D4A"/>
    <w:rsid w:val="00151D5F"/>
    <w:rsid w:val="00153BDE"/>
    <w:rsid w:val="00153E1E"/>
    <w:rsid w:val="00154074"/>
    <w:rsid w:val="001547E1"/>
    <w:rsid w:val="00154E1B"/>
    <w:rsid w:val="00154FDA"/>
    <w:rsid w:val="001606D9"/>
    <w:rsid w:val="001613D2"/>
    <w:rsid w:val="001614C4"/>
    <w:rsid w:val="001620C3"/>
    <w:rsid w:val="00162914"/>
    <w:rsid w:val="00162A39"/>
    <w:rsid w:val="001637B5"/>
    <w:rsid w:val="001656E4"/>
    <w:rsid w:val="00165E4F"/>
    <w:rsid w:val="00166915"/>
    <w:rsid w:val="0016702E"/>
    <w:rsid w:val="001711DF"/>
    <w:rsid w:val="0017170A"/>
    <w:rsid w:val="00171F95"/>
    <w:rsid w:val="00172318"/>
    <w:rsid w:val="00173D84"/>
    <w:rsid w:val="00175D48"/>
    <w:rsid w:val="00175DF5"/>
    <w:rsid w:val="00176548"/>
    <w:rsid w:val="0017784B"/>
    <w:rsid w:val="00177E41"/>
    <w:rsid w:val="00180DCB"/>
    <w:rsid w:val="00181BE7"/>
    <w:rsid w:val="00182AAD"/>
    <w:rsid w:val="00182EA4"/>
    <w:rsid w:val="00183BE2"/>
    <w:rsid w:val="00187BD8"/>
    <w:rsid w:val="00187CDC"/>
    <w:rsid w:val="0019008C"/>
    <w:rsid w:val="0019090C"/>
    <w:rsid w:val="00190953"/>
    <w:rsid w:val="00190BA0"/>
    <w:rsid w:val="00192814"/>
    <w:rsid w:val="0019426E"/>
    <w:rsid w:val="00195200"/>
    <w:rsid w:val="0019587D"/>
    <w:rsid w:val="00195B39"/>
    <w:rsid w:val="00196E63"/>
    <w:rsid w:val="0019785E"/>
    <w:rsid w:val="001A0274"/>
    <w:rsid w:val="001A1E94"/>
    <w:rsid w:val="001A1FCF"/>
    <w:rsid w:val="001A27D0"/>
    <w:rsid w:val="001A3255"/>
    <w:rsid w:val="001A3334"/>
    <w:rsid w:val="001A3864"/>
    <w:rsid w:val="001A3D65"/>
    <w:rsid w:val="001A4B94"/>
    <w:rsid w:val="001A5A44"/>
    <w:rsid w:val="001A5AB1"/>
    <w:rsid w:val="001A6699"/>
    <w:rsid w:val="001A6951"/>
    <w:rsid w:val="001A6BB0"/>
    <w:rsid w:val="001A74F9"/>
    <w:rsid w:val="001A7C13"/>
    <w:rsid w:val="001A7D8D"/>
    <w:rsid w:val="001B05D8"/>
    <w:rsid w:val="001B070F"/>
    <w:rsid w:val="001B24C7"/>
    <w:rsid w:val="001B27B5"/>
    <w:rsid w:val="001B28B8"/>
    <w:rsid w:val="001B28D1"/>
    <w:rsid w:val="001B2950"/>
    <w:rsid w:val="001B48CF"/>
    <w:rsid w:val="001B5187"/>
    <w:rsid w:val="001B7AD6"/>
    <w:rsid w:val="001B7FCF"/>
    <w:rsid w:val="001C0549"/>
    <w:rsid w:val="001C0952"/>
    <w:rsid w:val="001C0A1B"/>
    <w:rsid w:val="001C17B4"/>
    <w:rsid w:val="001C19DC"/>
    <w:rsid w:val="001C2945"/>
    <w:rsid w:val="001C2E8F"/>
    <w:rsid w:val="001C3159"/>
    <w:rsid w:val="001C3353"/>
    <w:rsid w:val="001C435A"/>
    <w:rsid w:val="001C515A"/>
    <w:rsid w:val="001C65AA"/>
    <w:rsid w:val="001C65E5"/>
    <w:rsid w:val="001C6D52"/>
    <w:rsid w:val="001C77A4"/>
    <w:rsid w:val="001C7A11"/>
    <w:rsid w:val="001D113B"/>
    <w:rsid w:val="001D18BA"/>
    <w:rsid w:val="001D1BFD"/>
    <w:rsid w:val="001D2087"/>
    <w:rsid w:val="001D32F8"/>
    <w:rsid w:val="001D38B5"/>
    <w:rsid w:val="001D396F"/>
    <w:rsid w:val="001D3D54"/>
    <w:rsid w:val="001D4261"/>
    <w:rsid w:val="001D500E"/>
    <w:rsid w:val="001D5283"/>
    <w:rsid w:val="001D5411"/>
    <w:rsid w:val="001D570B"/>
    <w:rsid w:val="001E0D69"/>
    <w:rsid w:val="001E0EA7"/>
    <w:rsid w:val="001E0FB1"/>
    <w:rsid w:val="001E2417"/>
    <w:rsid w:val="001E272E"/>
    <w:rsid w:val="001E2A85"/>
    <w:rsid w:val="001E3C88"/>
    <w:rsid w:val="001E45CA"/>
    <w:rsid w:val="001E4F6A"/>
    <w:rsid w:val="001E592E"/>
    <w:rsid w:val="001E60AA"/>
    <w:rsid w:val="001E6B74"/>
    <w:rsid w:val="001E7B10"/>
    <w:rsid w:val="001F0121"/>
    <w:rsid w:val="001F369E"/>
    <w:rsid w:val="001F38A4"/>
    <w:rsid w:val="001F3AE1"/>
    <w:rsid w:val="001F5242"/>
    <w:rsid w:val="001F579A"/>
    <w:rsid w:val="001F6939"/>
    <w:rsid w:val="002007DF"/>
    <w:rsid w:val="00200A27"/>
    <w:rsid w:val="00200D7D"/>
    <w:rsid w:val="00202B8E"/>
    <w:rsid w:val="00202E72"/>
    <w:rsid w:val="00203647"/>
    <w:rsid w:val="00204D9D"/>
    <w:rsid w:val="00204E6C"/>
    <w:rsid w:val="00205328"/>
    <w:rsid w:val="002078A2"/>
    <w:rsid w:val="00210C10"/>
    <w:rsid w:val="0021188C"/>
    <w:rsid w:val="00212183"/>
    <w:rsid w:val="00213F3F"/>
    <w:rsid w:val="00214036"/>
    <w:rsid w:val="0021415E"/>
    <w:rsid w:val="002144CE"/>
    <w:rsid w:val="00215033"/>
    <w:rsid w:val="0021666A"/>
    <w:rsid w:val="002166E6"/>
    <w:rsid w:val="00217A5B"/>
    <w:rsid w:val="00217ECB"/>
    <w:rsid w:val="00221D38"/>
    <w:rsid w:val="00221E1E"/>
    <w:rsid w:val="002222C3"/>
    <w:rsid w:val="00222CBD"/>
    <w:rsid w:val="002233EC"/>
    <w:rsid w:val="00223D6E"/>
    <w:rsid w:val="00224048"/>
    <w:rsid w:val="00224EEE"/>
    <w:rsid w:val="0022788C"/>
    <w:rsid w:val="00227CAA"/>
    <w:rsid w:val="0023049E"/>
    <w:rsid w:val="002304F7"/>
    <w:rsid w:val="00231961"/>
    <w:rsid w:val="00232977"/>
    <w:rsid w:val="00232ED9"/>
    <w:rsid w:val="00232FC5"/>
    <w:rsid w:val="00234797"/>
    <w:rsid w:val="002348D3"/>
    <w:rsid w:val="00236E08"/>
    <w:rsid w:val="00237304"/>
    <w:rsid w:val="002405B4"/>
    <w:rsid w:val="00240972"/>
    <w:rsid w:val="0024101E"/>
    <w:rsid w:val="0024143B"/>
    <w:rsid w:val="00241EFB"/>
    <w:rsid w:val="002428BE"/>
    <w:rsid w:val="002449D7"/>
    <w:rsid w:val="00244DF4"/>
    <w:rsid w:val="00245040"/>
    <w:rsid w:val="00245A66"/>
    <w:rsid w:val="00246504"/>
    <w:rsid w:val="0024741B"/>
    <w:rsid w:val="00247AE8"/>
    <w:rsid w:val="00250758"/>
    <w:rsid w:val="002519D5"/>
    <w:rsid w:val="002521DC"/>
    <w:rsid w:val="0025341C"/>
    <w:rsid w:val="00254E6A"/>
    <w:rsid w:val="0025673C"/>
    <w:rsid w:val="00257E41"/>
    <w:rsid w:val="0026211A"/>
    <w:rsid w:val="00262686"/>
    <w:rsid w:val="00262F57"/>
    <w:rsid w:val="00264244"/>
    <w:rsid w:val="00265512"/>
    <w:rsid w:val="00265944"/>
    <w:rsid w:val="00265AA7"/>
    <w:rsid w:val="002663B2"/>
    <w:rsid w:val="00270E73"/>
    <w:rsid w:val="0027106D"/>
    <w:rsid w:val="00271254"/>
    <w:rsid w:val="0027134D"/>
    <w:rsid w:val="00271A7D"/>
    <w:rsid w:val="0027282E"/>
    <w:rsid w:val="00272B78"/>
    <w:rsid w:val="00273954"/>
    <w:rsid w:val="002749F0"/>
    <w:rsid w:val="00275881"/>
    <w:rsid w:val="0027629E"/>
    <w:rsid w:val="002767AA"/>
    <w:rsid w:val="0028170B"/>
    <w:rsid w:val="00282191"/>
    <w:rsid w:val="002822E6"/>
    <w:rsid w:val="002835E7"/>
    <w:rsid w:val="00284666"/>
    <w:rsid w:val="00284A8F"/>
    <w:rsid w:val="00284C9C"/>
    <w:rsid w:val="00285A16"/>
    <w:rsid w:val="00291414"/>
    <w:rsid w:val="0029201D"/>
    <w:rsid w:val="00292503"/>
    <w:rsid w:val="00293A4C"/>
    <w:rsid w:val="00293A6D"/>
    <w:rsid w:val="00293EA9"/>
    <w:rsid w:val="00294ACF"/>
    <w:rsid w:val="002956E1"/>
    <w:rsid w:val="00295B9D"/>
    <w:rsid w:val="00296011"/>
    <w:rsid w:val="00296F7C"/>
    <w:rsid w:val="002A26E8"/>
    <w:rsid w:val="002A286B"/>
    <w:rsid w:val="002A3084"/>
    <w:rsid w:val="002A3EEA"/>
    <w:rsid w:val="002A5F6F"/>
    <w:rsid w:val="002A5F82"/>
    <w:rsid w:val="002A6505"/>
    <w:rsid w:val="002A752A"/>
    <w:rsid w:val="002A784E"/>
    <w:rsid w:val="002B0996"/>
    <w:rsid w:val="002B27AE"/>
    <w:rsid w:val="002B2B1A"/>
    <w:rsid w:val="002B307A"/>
    <w:rsid w:val="002B3A09"/>
    <w:rsid w:val="002B4F4A"/>
    <w:rsid w:val="002B599E"/>
    <w:rsid w:val="002B6040"/>
    <w:rsid w:val="002C02D6"/>
    <w:rsid w:val="002C0870"/>
    <w:rsid w:val="002C1740"/>
    <w:rsid w:val="002C17C7"/>
    <w:rsid w:val="002C2A78"/>
    <w:rsid w:val="002C30AF"/>
    <w:rsid w:val="002C35BA"/>
    <w:rsid w:val="002C5E04"/>
    <w:rsid w:val="002C5E3B"/>
    <w:rsid w:val="002C660B"/>
    <w:rsid w:val="002C7121"/>
    <w:rsid w:val="002C7F37"/>
    <w:rsid w:val="002D1F02"/>
    <w:rsid w:val="002D49EF"/>
    <w:rsid w:val="002D509A"/>
    <w:rsid w:val="002D5F2F"/>
    <w:rsid w:val="002D654E"/>
    <w:rsid w:val="002E0B62"/>
    <w:rsid w:val="002E2418"/>
    <w:rsid w:val="002E271B"/>
    <w:rsid w:val="002E3C8F"/>
    <w:rsid w:val="002E3FFA"/>
    <w:rsid w:val="002E52BD"/>
    <w:rsid w:val="002E545D"/>
    <w:rsid w:val="002E5FFC"/>
    <w:rsid w:val="002F1536"/>
    <w:rsid w:val="002F3106"/>
    <w:rsid w:val="002F3638"/>
    <w:rsid w:val="002F3C39"/>
    <w:rsid w:val="002F5632"/>
    <w:rsid w:val="002F5C2B"/>
    <w:rsid w:val="002F5CF4"/>
    <w:rsid w:val="002F5FB1"/>
    <w:rsid w:val="002F62AB"/>
    <w:rsid w:val="002F7761"/>
    <w:rsid w:val="00300352"/>
    <w:rsid w:val="00300B1B"/>
    <w:rsid w:val="00301C8A"/>
    <w:rsid w:val="00301CF8"/>
    <w:rsid w:val="00302E09"/>
    <w:rsid w:val="00303104"/>
    <w:rsid w:val="00303D91"/>
    <w:rsid w:val="00304200"/>
    <w:rsid w:val="00305578"/>
    <w:rsid w:val="003103FD"/>
    <w:rsid w:val="00311C2C"/>
    <w:rsid w:val="00312FFF"/>
    <w:rsid w:val="00313146"/>
    <w:rsid w:val="0031348C"/>
    <w:rsid w:val="0031706B"/>
    <w:rsid w:val="00320968"/>
    <w:rsid w:val="00320A27"/>
    <w:rsid w:val="0032246E"/>
    <w:rsid w:val="003236FE"/>
    <w:rsid w:val="003259B0"/>
    <w:rsid w:val="00325AC6"/>
    <w:rsid w:val="00327073"/>
    <w:rsid w:val="00327B97"/>
    <w:rsid w:val="00330C95"/>
    <w:rsid w:val="0033133F"/>
    <w:rsid w:val="003317FF"/>
    <w:rsid w:val="00331977"/>
    <w:rsid w:val="003325A9"/>
    <w:rsid w:val="00332E89"/>
    <w:rsid w:val="0033433E"/>
    <w:rsid w:val="00335DCB"/>
    <w:rsid w:val="00336066"/>
    <w:rsid w:val="00336825"/>
    <w:rsid w:val="003378CC"/>
    <w:rsid w:val="00340A2A"/>
    <w:rsid w:val="00340CAE"/>
    <w:rsid w:val="00340EAE"/>
    <w:rsid w:val="00341013"/>
    <w:rsid w:val="003415BD"/>
    <w:rsid w:val="003423F7"/>
    <w:rsid w:val="003444B6"/>
    <w:rsid w:val="00344619"/>
    <w:rsid w:val="00344757"/>
    <w:rsid w:val="003449CF"/>
    <w:rsid w:val="003502FD"/>
    <w:rsid w:val="00350C22"/>
    <w:rsid w:val="003512A3"/>
    <w:rsid w:val="003512F4"/>
    <w:rsid w:val="00351E76"/>
    <w:rsid w:val="00351E7A"/>
    <w:rsid w:val="0035279F"/>
    <w:rsid w:val="003530D1"/>
    <w:rsid w:val="003531E9"/>
    <w:rsid w:val="003537A3"/>
    <w:rsid w:val="00353C2A"/>
    <w:rsid w:val="003542FF"/>
    <w:rsid w:val="003546C5"/>
    <w:rsid w:val="00355F71"/>
    <w:rsid w:val="00356093"/>
    <w:rsid w:val="00357675"/>
    <w:rsid w:val="00357D85"/>
    <w:rsid w:val="0036061C"/>
    <w:rsid w:val="00360ABE"/>
    <w:rsid w:val="003611B3"/>
    <w:rsid w:val="0036140F"/>
    <w:rsid w:val="003626E7"/>
    <w:rsid w:val="00362A25"/>
    <w:rsid w:val="00364218"/>
    <w:rsid w:val="003645CA"/>
    <w:rsid w:val="00365050"/>
    <w:rsid w:val="00365591"/>
    <w:rsid w:val="00366937"/>
    <w:rsid w:val="00366E94"/>
    <w:rsid w:val="00370538"/>
    <w:rsid w:val="00370760"/>
    <w:rsid w:val="00372B2B"/>
    <w:rsid w:val="0037381F"/>
    <w:rsid w:val="00373E37"/>
    <w:rsid w:val="00373EDC"/>
    <w:rsid w:val="00374395"/>
    <w:rsid w:val="003756ED"/>
    <w:rsid w:val="00375743"/>
    <w:rsid w:val="00377A07"/>
    <w:rsid w:val="00377C57"/>
    <w:rsid w:val="00380268"/>
    <w:rsid w:val="0038115D"/>
    <w:rsid w:val="00381DD8"/>
    <w:rsid w:val="00382011"/>
    <w:rsid w:val="00382C4D"/>
    <w:rsid w:val="0038324B"/>
    <w:rsid w:val="0038532A"/>
    <w:rsid w:val="003855A4"/>
    <w:rsid w:val="00385CB3"/>
    <w:rsid w:val="003866AB"/>
    <w:rsid w:val="003866BA"/>
    <w:rsid w:val="00387CBC"/>
    <w:rsid w:val="00390D74"/>
    <w:rsid w:val="00391BEC"/>
    <w:rsid w:val="00392161"/>
    <w:rsid w:val="0039236C"/>
    <w:rsid w:val="00392A94"/>
    <w:rsid w:val="003931A3"/>
    <w:rsid w:val="003939D7"/>
    <w:rsid w:val="00394325"/>
    <w:rsid w:val="00394A98"/>
    <w:rsid w:val="00395CB8"/>
    <w:rsid w:val="00395E31"/>
    <w:rsid w:val="00395EF5"/>
    <w:rsid w:val="00396609"/>
    <w:rsid w:val="003A1AD3"/>
    <w:rsid w:val="003A2D4D"/>
    <w:rsid w:val="003A49DC"/>
    <w:rsid w:val="003A5B8C"/>
    <w:rsid w:val="003A5CFE"/>
    <w:rsid w:val="003A662C"/>
    <w:rsid w:val="003A6C8B"/>
    <w:rsid w:val="003A6E40"/>
    <w:rsid w:val="003A6F4A"/>
    <w:rsid w:val="003A741B"/>
    <w:rsid w:val="003B0A73"/>
    <w:rsid w:val="003B1F4C"/>
    <w:rsid w:val="003B40EF"/>
    <w:rsid w:val="003B4F81"/>
    <w:rsid w:val="003B5730"/>
    <w:rsid w:val="003B5961"/>
    <w:rsid w:val="003B61EA"/>
    <w:rsid w:val="003B6205"/>
    <w:rsid w:val="003B6442"/>
    <w:rsid w:val="003B6CD2"/>
    <w:rsid w:val="003B70D7"/>
    <w:rsid w:val="003B71B8"/>
    <w:rsid w:val="003C1B4F"/>
    <w:rsid w:val="003C2874"/>
    <w:rsid w:val="003C2FF4"/>
    <w:rsid w:val="003C425E"/>
    <w:rsid w:val="003C4E38"/>
    <w:rsid w:val="003C558F"/>
    <w:rsid w:val="003C5B94"/>
    <w:rsid w:val="003C6712"/>
    <w:rsid w:val="003C69D1"/>
    <w:rsid w:val="003D02B4"/>
    <w:rsid w:val="003D22A5"/>
    <w:rsid w:val="003D22F9"/>
    <w:rsid w:val="003D3AFA"/>
    <w:rsid w:val="003D4515"/>
    <w:rsid w:val="003D4885"/>
    <w:rsid w:val="003D4921"/>
    <w:rsid w:val="003D58A3"/>
    <w:rsid w:val="003D597D"/>
    <w:rsid w:val="003D5DDB"/>
    <w:rsid w:val="003D625D"/>
    <w:rsid w:val="003D6804"/>
    <w:rsid w:val="003D68D2"/>
    <w:rsid w:val="003D75F5"/>
    <w:rsid w:val="003D7E17"/>
    <w:rsid w:val="003D7F03"/>
    <w:rsid w:val="003E0127"/>
    <w:rsid w:val="003E2C99"/>
    <w:rsid w:val="003E3995"/>
    <w:rsid w:val="003E3F5F"/>
    <w:rsid w:val="003E67A3"/>
    <w:rsid w:val="003E689E"/>
    <w:rsid w:val="003E6BD1"/>
    <w:rsid w:val="003E7C4E"/>
    <w:rsid w:val="003F0830"/>
    <w:rsid w:val="003F17AB"/>
    <w:rsid w:val="003F1DF3"/>
    <w:rsid w:val="003F2114"/>
    <w:rsid w:val="003F31F1"/>
    <w:rsid w:val="003F324E"/>
    <w:rsid w:val="003F3D04"/>
    <w:rsid w:val="003F3D3E"/>
    <w:rsid w:val="003F59FA"/>
    <w:rsid w:val="003F6190"/>
    <w:rsid w:val="00400FF4"/>
    <w:rsid w:val="00402D04"/>
    <w:rsid w:val="00403A01"/>
    <w:rsid w:val="00403B2C"/>
    <w:rsid w:val="00403CD5"/>
    <w:rsid w:val="0040498E"/>
    <w:rsid w:val="00404BF5"/>
    <w:rsid w:val="00404F89"/>
    <w:rsid w:val="00405030"/>
    <w:rsid w:val="00405495"/>
    <w:rsid w:val="00405E5B"/>
    <w:rsid w:val="00405F34"/>
    <w:rsid w:val="00406434"/>
    <w:rsid w:val="004067BE"/>
    <w:rsid w:val="00406D2B"/>
    <w:rsid w:val="00407318"/>
    <w:rsid w:val="00410C36"/>
    <w:rsid w:val="00410D12"/>
    <w:rsid w:val="00411569"/>
    <w:rsid w:val="0041192F"/>
    <w:rsid w:val="00411A40"/>
    <w:rsid w:val="0041205F"/>
    <w:rsid w:val="00412162"/>
    <w:rsid w:val="004129D3"/>
    <w:rsid w:val="00413DDE"/>
    <w:rsid w:val="00415158"/>
    <w:rsid w:val="004152AA"/>
    <w:rsid w:val="00415485"/>
    <w:rsid w:val="0041566C"/>
    <w:rsid w:val="00417938"/>
    <w:rsid w:val="004202DE"/>
    <w:rsid w:val="00420487"/>
    <w:rsid w:val="00421F3D"/>
    <w:rsid w:val="00422016"/>
    <w:rsid w:val="0042217F"/>
    <w:rsid w:val="0042297E"/>
    <w:rsid w:val="0042328E"/>
    <w:rsid w:val="00423314"/>
    <w:rsid w:val="00423EDA"/>
    <w:rsid w:val="00424A0F"/>
    <w:rsid w:val="00424B86"/>
    <w:rsid w:val="00425CB2"/>
    <w:rsid w:val="00426D0D"/>
    <w:rsid w:val="0043130E"/>
    <w:rsid w:val="0043131D"/>
    <w:rsid w:val="0043141E"/>
    <w:rsid w:val="00431817"/>
    <w:rsid w:val="0043223D"/>
    <w:rsid w:val="004336BB"/>
    <w:rsid w:val="00435533"/>
    <w:rsid w:val="0043573F"/>
    <w:rsid w:val="00435F92"/>
    <w:rsid w:val="0043655F"/>
    <w:rsid w:val="00437C96"/>
    <w:rsid w:val="004403E2"/>
    <w:rsid w:val="00441527"/>
    <w:rsid w:val="0044275D"/>
    <w:rsid w:val="00442984"/>
    <w:rsid w:val="00442B06"/>
    <w:rsid w:val="0044348F"/>
    <w:rsid w:val="00443A04"/>
    <w:rsid w:val="00443E38"/>
    <w:rsid w:val="00443E68"/>
    <w:rsid w:val="0044432F"/>
    <w:rsid w:val="0044576D"/>
    <w:rsid w:val="00447204"/>
    <w:rsid w:val="00452BE9"/>
    <w:rsid w:val="00452C66"/>
    <w:rsid w:val="004530B0"/>
    <w:rsid w:val="004539BE"/>
    <w:rsid w:val="004542EC"/>
    <w:rsid w:val="0045478F"/>
    <w:rsid w:val="00454B47"/>
    <w:rsid w:val="004554CF"/>
    <w:rsid w:val="004561CB"/>
    <w:rsid w:val="004574C5"/>
    <w:rsid w:val="004604E0"/>
    <w:rsid w:val="00460547"/>
    <w:rsid w:val="00460D67"/>
    <w:rsid w:val="00460F32"/>
    <w:rsid w:val="004613C9"/>
    <w:rsid w:val="004624FB"/>
    <w:rsid w:val="00463855"/>
    <w:rsid w:val="0046406F"/>
    <w:rsid w:val="00465451"/>
    <w:rsid w:val="00466900"/>
    <w:rsid w:val="0047041C"/>
    <w:rsid w:val="004721CF"/>
    <w:rsid w:val="00472A66"/>
    <w:rsid w:val="00475B11"/>
    <w:rsid w:val="00475D58"/>
    <w:rsid w:val="00475F35"/>
    <w:rsid w:val="00476008"/>
    <w:rsid w:val="004774FB"/>
    <w:rsid w:val="00477D7C"/>
    <w:rsid w:val="0048017A"/>
    <w:rsid w:val="00480560"/>
    <w:rsid w:val="00480DF0"/>
    <w:rsid w:val="00480ECC"/>
    <w:rsid w:val="00481039"/>
    <w:rsid w:val="00481435"/>
    <w:rsid w:val="0048143F"/>
    <w:rsid w:val="0048224F"/>
    <w:rsid w:val="00483298"/>
    <w:rsid w:val="00483D51"/>
    <w:rsid w:val="004862C1"/>
    <w:rsid w:val="00487298"/>
    <w:rsid w:val="004872F1"/>
    <w:rsid w:val="004904E5"/>
    <w:rsid w:val="00491056"/>
    <w:rsid w:val="004910D4"/>
    <w:rsid w:val="00491461"/>
    <w:rsid w:val="004917CD"/>
    <w:rsid w:val="00491956"/>
    <w:rsid w:val="00492954"/>
    <w:rsid w:val="004934DE"/>
    <w:rsid w:val="004937AC"/>
    <w:rsid w:val="00493AD7"/>
    <w:rsid w:val="00493FCC"/>
    <w:rsid w:val="00494B10"/>
    <w:rsid w:val="00494FA2"/>
    <w:rsid w:val="004958D7"/>
    <w:rsid w:val="00495903"/>
    <w:rsid w:val="00496C77"/>
    <w:rsid w:val="004973B7"/>
    <w:rsid w:val="00497831"/>
    <w:rsid w:val="00497C34"/>
    <w:rsid w:val="004A08E5"/>
    <w:rsid w:val="004A290F"/>
    <w:rsid w:val="004A3BBA"/>
    <w:rsid w:val="004A58E1"/>
    <w:rsid w:val="004A5AB6"/>
    <w:rsid w:val="004A5AC3"/>
    <w:rsid w:val="004A68EC"/>
    <w:rsid w:val="004A6913"/>
    <w:rsid w:val="004A72FF"/>
    <w:rsid w:val="004A7B51"/>
    <w:rsid w:val="004B015B"/>
    <w:rsid w:val="004B026B"/>
    <w:rsid w:val="004B0CF8"/>
    <w:rsid w:val="004B1C52"/>
    <w:rsid w:val="004B2752"/>
    <w:rsid w:val="004B3461"/>
    <w:rsid w:val="004B607E"/>
    <w:rsid w:val="004B63B1"/>
    <w:rsid w:val="004B663D"/>
    <w:rsid w:val="004B66ED"/>
    <w:rsid w:val="004B71C7"/>
    <w:rsid w:val="004B7477"/>
    <w:rsid w:val="004C0821"/>
    <w:rsid w:val="004C0997"/>
    <w:rsid w:val="004C30C9"/>
    <w:rsid w:val="004C41EC"/>
    <w:rsid w:val="004C4AE1"/>
    <w:rsid w:val="004C60DC"/>
    <w:rsid w:val="004C659D"/>
    <w:rsid w:val="004C6797"/>
    <w:rsid w:val="004C734A"/>
    <w:rsid w:val="004C7957"/>
    <w:rsid w:val="004C7FD1"/>
    <w:rsid w:val="004D03D5"/>
    <w:rsid w:val="004D0F83"/>
    <w:rsid w:val="004D1E2D"/>
    <w:rsid w:val="004D3FF2"/>
    <w:rsid w:val="004D4585"/>
    <w:rsid w:val="004D4D3F"/>
    <w:rsid w:val="004D5298"/>
    <w:rsid w:val="004D5BB2"/>
    <w:rsid w:val="004D66A4"/>
    <w:rsid w:val="004E20A7"/>
    <w:rsid w:val="004E26F5"/>
    <w:rsid w:val="004E271A"/>
    <w:rsid w:val="004E3296"/>
    <w:rsid w:val="004E3312"/>
    <w:rsid w:val="004E34EA"/>
    <w:rsid w:val="004E37E7"/>
    <w:rsid w:val="004E3D84"/>
    <w:rsid w:val="004E3DDE"/>
    <w:rsid w:val="004E4492"/>
    <w:rsid w:val="004E4C81"/>
    <w:rsid w:val="004E4FB6"/>
    <w:rsid w:val="004E5C13"/>
    <w:rsid w:val="004E632D"/>
    <w:rsid w:val="004E67BA"/>
    <w:rsid w:val="004E6821"/>
    <w:rsid w:val="004E6F75"/>
    <w:rsid w:val="004E7FC4"/>
    <w:rsid w:val="004F024A"/>
    <w:rsid w:val="004F19CC"/>
    <w:rsid w:val="004F3B81"/>
    <w:rsid w:val="004F52E8"/>
    <w:rsid w:val="004F56BD"/>
    <w:rsid w:val="004F610C"/>
    <w:rsid w:val="004F73C7"/>
    <w:rsid w:val="005016F9"/>
    <w:rsid w:val="00501C5F"/>
    <w:rsid w:val="005024CB"/>
    <w:rsid w:val="00502A50"/>
    <w:rsid w:val="00503080"/>
    <w:rsid w:val="00504334"/>
    <w:rsid w:val="005047D3"/>
    <w:rsid w:val="0050497E"/>
    <w:rsid w:val="00504E5D"/>
    <w:rsid w:val="00504FB4"/>
    <w:rsid w:val="005056AB"/>
    <w:rsid w:val="0050637A"/>
    <w:rsid w:val="005063F7"/>
    <w:rsid w:val="00506CBE"/>
    <w:rsid w:val="0050710A"/>
    <w:rsid w:val="0050738D"/>
    <w:rsid w:val="0050755C"/>
    <w:rsid w:val="0051075E"/>
    <w:rsid w:val="00511795"/>
    <w:rsid w:val="00512B23"/>
    <w:rsid w:val="00514660"/>
    <w:rsid w:val="00515779"/>
    <w:rsid w:val="00516997"/>
    <w:rsid w:val="005171B8"/>
    <w:rsid w:val="005233BD"/>
    <w:rsid w:val="005235CC"/>
    <w:rsid w:val="00524F59"/>
    <w:rsid w:val="00526608"/>
    <w:rsid w:val="00526C9D"/>
    <w:rsid w:val="00527A7F"/>
    <w:rsid w:val="00530728"/>
    <w:rsid w:val="00530AD0"/>
    <w:rsid w:val="005317A5"/>
    <w:rsid w:val="00531A80"/>
    <w:rsid w:val="00532288"/>
    <w:rsid w:val="00532B0C"/>
    <w:rsid w:val="00533107"/>
    <w:rsid w:val="00534B65"/>
    <w:rsid w:val="00535193"/>
    <w:rsid w:val="005356FF"/>
    <w:rsid w:val="00536975"/>
    <w:rsid w:val="0053746C"/>
    <w:rsid w:val="005411CA"/>
    <w:rsid w:val="00541FEE"/>
    <w:rsid w:val="00543099"/>
    <w:rsid w:val="0054411A"/>
    <w:rsid w:val="0054428A"/>
    <w:rsid w:val="00545339"/>
    <w:rsid w:val="00545E2E"/>
    <w:rsid w:val="0054693E"/>
    <w:rsid w:val="00546BD5"/>
    <w:rsid w:val="005472F8"/>
    <w:rsid w:val="00547541"/>
    <w:rsid w:val="00547F42"/>
    <w:rsid w:val="0055201E"/>
    <w:rsid w:val="00552C9D"/>
    <w:rsid w:val="00552DED"/>
    <w:rsid w:val="00554D33"/>
    <w:rsid w:val="00554F01"/>
    <w:rsid w:val="005554D7"/>
    <w:rsid w:val="00555F27"/>
    <w:rsid w:val="0055785C"/>
    <w:rsid w:val="00557EA4"/>
    <w:rsid w:val="00560C3C"/>
    <w:rsid w:val="00561222"/>
    <w:rsid w:val="005613CC"/>
    <w:rsid w:val="00561848"/>
    <w:rsid w:val="00561AD6"/>
    <w:rsid w:val="00561C38"/>
    <w:rsid w:val="0056347B"/>
    <w:rsid w:val="00563C30"/>
    <w:rsid w:val="00565007"/>
    <w:rsid w:val="00565437"/>
    <w:rsid w:val="00565929"/>
    <w:rsid w:val="005664E9"/>
    <w:rsid w:val="00567A9A"/>
    <w:rsid w:val="00567BC6"/>
    <w:rsid w:val="005701E0"/>
    <w:rsid w:val="0057232C"/>
    <w:rsid w:val="00573318"/>
    <w:rsid w:val="00573D9D"/>
    <w:rsid w:val="00577607"/>
    <w:rsid w:val="005806A0"/>
    <w:rsid w:val="005828D8"/>
    <w:rsid w:val="005840EC"/>
    <w:rsid w:val="005860AF"/>
    <w:rsid w:val="0059100F"/>
    <w:rsid w:val="00591781"/>
    <w:rsid w:val="00594183"/>
    <w:rsid w:val="00594B1F"/>
    <w:rsid w:val="00595DC4"/>
    <w:rsid w:val="00596262"/>
    <w:rsid w:val="00596B88"/>
    <w:rsid w:val="005A03EA"/>
    <w:rsid w:val="005A1A96"/>
    <w:rsid w:val="005A21C2"/>
    <w:rsid w:val="005A25EF"/>
    <w:rsid w:val="005A2F13"/>
    <w:rsid w:val="005A4122"/>
    <w:rsid w:val="005A6073"/>
    <w:rsid w:val="005A6192"/>
    <w:rsid w:val="005A61A0"/>
    <w:rsid w:val="005A64BE"/>
    <w:rsid w:val="005A7216"/>
    <w:rsid w:val="005B160D"/>
    <w:rsid w:val="005B1CAA"/>
    <w:rsid w:val="005B2EBF"/>
    <w:rsid w:val="005B3220"/>
    <w:rsid w:val="005B3804"/>
    <w:rsid w:val="005B64E4"/>
    <w:rsid w:val="005B795D"/>
    <w:rsid w:val="005C032B"/>
    <w:rsid w:val="005C22CA"/>
    <w:rsid w:val="005C3A0B"/>
    <w:rsid w:val="005C429D"/>
    <w:rsid w:val="005C4691"/>
    <w:rsid w:val="005C4709"/>
    <w:rsid w:val="005C5FAD"/>
    <w:rsid w:val="005C72F3"/>
    <w:rsid w:val="005C7322"/>
    <w:rsid w:val="005C79E2"/>
    <w:rsid w:val="005D0881"/>
    <w:rsid w:val="005D165A"/>
    <w:rsid w:val="005D176D"/>
    <w:rsid w:val="005D2C84"/>
    <w:rsid w:val="005D3550"/>
    <w:rsid w:val="005D3D3E"/>
    <w:rsid w:val="005D5579"/>
    <w:rsid w:val="005D7820"/>
    <w:rsid w:val="005D78FC"/>
    <w:rsid w:val="005E019D"/>
    <w:rsid w:val="005E0A91"/>
    <w:rsid w:val="005E18B4"/>
    <w:rsid w:val="005E230B"/>
    <w:rsid w:val="005E2957"/>
    <w:rsid w:val="005E29D6"/>
    <w:rsid w:val="005E3AA7"/>
    <w:rsid w:val="005E3EAD"/>
    <w:rsid w:val="005E4294"/>
    <w:rsid w:val="005E471D"/>
    <w:rsid w:val="005E57C8"/>
    <w:rsid w:val="005E58A5"/>
    <w:rsid w:val="005E6050"/>
    <w:rsid w:val="005E6078"/>
    <w:rsid w:val="005E68B1"/>
    <w:rsid w:val="005F0E12"/>
    <w:rsid w:val="005F19D6"/>
    <w:rsid w:val="005F23C6"/>
    <w:rsid w:val="005F2B01"/>
    <w:rsid w:val="005F3BD2"/>
    <w:rsid w:val="005F53D2"/>
    <w:rsid w:val="005F72E6"/>
    <w:rsid w:val="006002C4"/>
    <w:rsid w:val="006005A8"/>
    <w:rsid w:val="00600993"/>
    <w:rsid w:val="00600A8A"/>
    <w:rsid w:val="0060133A"/>
    <w:rsid w:val="00603003"/>
    <w:rsid w:val="0060352A"/>
    <w:rsid w:val="006039A5"/>
    <w:rsid w:val="00604F4B"/>
    <w:rsid w:val="006051AC"/>
    <w:rsid w:val="00605333"/>
    <w:rsid w:val="00605716"/>
    <w:rsid w:val="00606BCF"/>
    <w:rsid w:val="0060723E"/>
    <w:rsid w:val="00611285"/>
    <w:rsid w:val="0061197E"/>
    <w:rsid w:val="0061232E"/>
    <w:rsid w:val="006129BB"/>
    <w:rsid w:val="006134B1"/>
    <w:rsid w:val="0061423F"/>
    <w:rsid w:val="00614E25"/>
    <w:rsid w:val="00620D07"/>
    <w:rsid w:val="00621FFC"/>
    <w:rsid w:val="0062256D"/>
    <w:rsid w:val="006229F7"/>
    <w:rsid w:val="00622BBD"/>
    <w:rsid w:val="006234B6"/>
    <w:rsid w:val="00624B43"/>
    <w:rsid w:val="006265CD"/>
    <w:rsid w:val="006268AD"/>
    <w:rsid w:val="00626B98"/>
    <w:rsid w:val="00626F79"/>
    <w:rsid w:val="006272CD"/>
    <w:rsid w:val="0062768A"/>
    <w:rsid w:val="00627D3B"/>
    <w:rsid w:val="006319DD"/>
    <w:rsid w:val="0063227B"/>
    <w:rsid w:val="00632FFE"/>
    <w:rsid w:val="006331A5"/>
    <w:rsid w:val="006339C3"/>
    <w:rsid w:val="00633A5F"/>
    <w:rsid w:val="00634D37"/>
    <w:rsid w:val="006351CE"/>
    <w:rsid w:val="00636CB2"/>
    <w:rsid w:val="00636DDC"/>
    <w:rsid w:val="00636E90"/>
    <w:rsid w:val="006402C6"/>
    <w:rsid w:val="006404A8"/>
    <w:rsid w:val="00640CED"/>
    <w:rsid w:val="0064137E"/>
    <w:rsid w:val="00641F4C"/>
    <w:rsid w:val="00643E75"/>
    <w:rsid w:val="006466B6"/>
    <w:rsid w:val="00650A24"/>
    <w:rsid w:val="00650D79"/>
    <w:rsid w:val="00650F03"/>
    <w:rsid w:val="00650F5D"/>
    <w:rsid w:val="00651059"/>
    <w:rsid w:val="00651778"/>
    <w:rsid w:val="00651BC5"/>
    <w:rsid w:val="006551CD"/>
    <w:rsid w:val="0065577A"/>
    <w:rsid w:val="006558F9"/>
    <w:rsid w:val="00655910"/>
    <w:rsid w:val="00655F22"/>
    <w:rsid w:val="00657E0A"/>
    <w:rsid w:val="00660FAF"/>
    <w:rsid w:val="00661948"/>
    <w:rsid w:val="00662B76"/>
    <w:rsid w:val="00662E05"/>
    <w:rsid w:val="00663AE4"/>
    <w:rsid w:val="006640D2"/>
    <w:rsid w:val="00664727"/>
    <w:rsid w:val="00664CA2"/>
    <w:rsid w:val="00665B39"/>
    <w:rsid w:val="00665BBF"/>
    <w:rsid w:val="006663A5"/>
    <w:rsid w:val="006675EF"/>
    <w:rsid w:val="00671365"/>
    <w:rsid w:val="006725CA"/>
    <w:rsid w:val="006752CF"/>
    <w:rsid w:val="00676E22"/>
    <w:rsid w:val="00677893"/>
    <w:rsid w:val="00677FB2"/>
    <w:rsid w:val="00680222"/>
    <w:rsid w:val="00680A8D"/>
    <w:rsid w:val="00680F8A"/>
    <w:rsid w:val="00681775"/>
    <w:rsid w:val="00684180"/>
    <w:rsid w:val="006842E5"/>
    <w:rsid w:val="00686FB2"/>
    <w:rsid w:val="006870CD"/>
    <w:rsid w:val="00687495"/>
    <w:rsid w:val="00687A1F"/>
    <w:rsid w:val="006917FE"/>
    <w:rsid w:val="0069214A"/>
    <w:rsid w:val="006929E9"/>
    <w:rsid w:val="00693332"/>
    <w:rsid w:val="0069474D"/>
    <w:rsid w:val="00694C23"/>
    <w:rsid w:val="00694C46"/>
    <w:rsid w:val="006961D6"/>
    <w:rsid w:val="006961D9"/>
    <w:rsid w:val="0069646C"/>
    <w:rsid w:val="00696A03"/>
    <w:rsid w:val="00696BA2"/>
    <w:rsid w:val="00697062"/>
    <w:rsid w:val="006971E6"/>
    <w:rsid w:val="00697F60"/>
    <w:rsid w:val="006A11FA"/>
    <w:rsid w:val="006A136C"/>
    <w:rsid w:val="006A182D"/>
    <w:rsid w:val="006A2B19"/>
    <w:rsid w:val="006A2FC7"/>
    <w:rsid w:val="006A43D1"/>
    <w:rsid w:val="006A4D46"/>
    <w:rsid w:val="006A4FD4"/>
    <w:rsid w:val="006A5697"/>
    <w:rsid w:val="006A602F"/>
    <w:rsid w:val="006A7A28"/>
    <w:rsid w:val="006B04D3"/>
    <w:rsid w:val="006B10DD"/>
    <w:rsid w:val="006B2C7F"/>
    <w:rsid w:val="006B35DA"/>
    <w:rsid w:val="006B61BD"/>
    <w:rsid w:val="006C3B1A"/>
    <w:rsid w:val="006C6025"/>
    <w:rsid w:val="006C6460"/>
    <w:rsid w:val="006C6979"/>
    <w:rsid w:val="006C73F0"/>
    <w:rsid w:val="006D1635"/>
    <w:rsid w:val="006D1E40"/>
    <w:rsid w:val="006D273F"/>
    <w:rsid w:val="006D2EF2"/>
    <w:rsid w:val="006D313E"/>
    <w:rsid w:val="006D3C56"/>
    <w:rsid w:val="006D3D1F"/>
    <w:rsid w:val="006D3E13"/>
    <w:rsid w:val="006D412C"/>
    <w:rsid w:val="006D4E09"/>
    <w:rsid w:val="006D6026"/>
    <w:rsid w:val="006D60D9"/>
    <w:rsid w:val="006D6A7F"/>
    <w:rsid w:val="006D6C28"/>
    <w:rsid w:val="006D6F58"/>
    <w:rsid w:val="006D722C"/>
    <w:rsid w:val="006D72F1"/>
    <w:rsid w:val="006D7901"/>
    <w:rsid w:val="006D7A15"/>
    <w:rsid w:val="006D7C3F"/>
    <w:rsid w:val="006E097C"/>
    <w:rsid w:val="006E0D2E"/>
    <w:rsid w:val="006E3C12"/>
    <w:rsid w:val="006E5DF9"/>
    <w:rsid w:val="006E6444"/>
    <w:rsid w:val="006E6451"/>
    <w:rsid w:val="006F054A"/>
    <w:rsid w:val="006F1AF0"/>
    <w:rsid w:val="006F2C70"/>
    <w:rsid w:val="006F3A76"/>
    <w:rsid w:val="006F43C4"/>
    <w:rsid w:val="006F44F3"/>
    <w:rsid w:val="006F47DB"/>
    <w:rsid w:val="006F4907"/>
    <w:rsid w:val="006F6CA0"/>
    <w:rsid w:val="006F783F"/>
    <w:rsid w:val="006F7FFB"/>
    <w:rsid w:val="0070055E"/>
    <w:rsid w:val="007018A6"/>
    <w:rsid w:val="007021B2"/>
    <w:rsid w:val="007023E7"/>
    <w:rsid w:val="00704A27"/>
    <w:rsid w:val="00705205"/>
    <w:rsid w:val="00705CD0"/>
    <w:rsid w:val="00705FA9"/>
    <w:rsid w:val="00706B2B"/>
    <w:rsid w:val="007076E3"/>
    <w:rsid w:val="007104C2"/>
    <w:rsid w:val="00710DDE"/>
    <w:rsid w:val="00712CC9"/>
    <w:rsid w:val="007138B7"/>
    <w:rsid w:val="007158FC"/>
    <w:rsid w:val="00715AA9"/>
    <w:rsid w:val="007172CB"/>
    <w:rsid w:val="00720123"/>
    <w:rsid w:val="00720653"/>
    <w:rsid w:val="00720EA6"/>
    <w:rsid w:val="007212DA"/>
    <w:rsid w:val="00721D02"/>
    <w:rsid w:val="007229E9"/>
    <w:rsid w:val="0072356F"/>
    <w:rsid w:val="00726534"/>
    <w:rsid w:val="00726F03"/>
    <w:rsid w:val="00727132"/>
    <w:rsid w:val="007304BA"/>
    <w:rsid w:val="007319EE"/>
    <w:rsid w:val="00732E97"/>
    <w:rsid w:val="00733163"/>
    <w:rsid w:val="00733C8C"/>
    <w:rsid w:val="00734CB9"/>
    <w:rsid w:val="00735D90"/>
    <w:rsid w:val="0073608D"/>
    <w:rsid w:val="0073694D"/>
    <w:rsid w:val="00736A46"/>
    <w:rsid w:val="00736FD9"/>
    <w:rsid w:val="00736FF4"/>
    <w:rsid w:val="007378E9"/>
    <w:rsid w:val="00737E7F"/>
    <w:rsid w:val="00740382"/>
    <w:rsid w:val="007408F7"/>
    <w:rsid w:val="0074323E"/>
    <w:rsid w:val="00743288"/>
    <w:rsid w:val="007457FE"/>
    <w:rsid w:val="00747818"/>
    <w:rsid w:val="00747EBD"/>
    <w:rsid w:val="007517B6"/>
    <w:rsid w:val="00751B0B"/>
    <w:rsid w:val="00755F5C"/>
    <w:rsid w:val="00756547"/>
    <w:rsid w:val="00756D89"/>
    <w:rsid w:val="00757199"/>
    <w:rsid w:val="00757504"/>
    <w:rsid w:val="00760ADE"/>
    <w:rsid w:val="00761128"/>
    <w:rsid w:val="0076189C"/>
    <w:rsid w:val="00762512"/>
    <w:rsid w:val="00762973"/>
    <w:rsid w:val="0076311D"/>
    <w:rsid w:val="00763321"/>
    <w:rsid w:val="007666E8"/>
    <w:rsid w:val="00766ACB"/>
    <w:rsid w:val="00766AD6"/>
    <w:rsid w:val="00766C9C"/>
    <w:rsid w:val="00766CA6"/>
    <w:rsid w:val="007719B8"/>
    <w:rsid w:val="00772335"/>
    <w:rsid w:val="007727D0"/>
    <w:rsid w:val="007735FE"/>
    <w:rsid w:val="00774AB1"/>
    <w:rsid w:val="00775BB8"/>
    <w:rsid w:val="00776093"/>
    <w:rsid w:val="00780552"/>
    <w:rsid w:val="007809EA"/>
    <w:rsid w:val="00780CE0"/>
    <w:rsid w:val="007811EA"/>
    <w:rsid w:val="007812A6"/>
    <w:rsid w:val="0078163F"/>
    <w:rsid w:val="007828BF"/>
    <w:rsid w:val="00782E2C"/>
    <w:rsid w:val="00783D0C"/>
    <w:rsid w:val="007842B8"/>
    <w:rsid w:val="00785010"/>
    <w:rsid w:val="00785331"/>
    <w:rsid w:val="007853E1"/>
    <w:rsid w:val="00785859"/>
    <w:rsid w:val="00787402"/>
    <w:rsid w:val="00787DA5"/>
    <w:rsid w:val="00787FAE"/>
    <w:rsid w:val="00791157"/>
    <w:rsid w:val="007931AA"/>
    <w:rsid w:val="007931D8"/>
    <w:rsid w:val="007956EA"/>
    <w:rsid w:val="00795AFB"/>
    <w:rsid w:val="00795CC4"/>
    <w:rsid w:val="0079613F"/>
    <w:rsid w:val="00796F6B"/>
    <w:rsid w:val="007A1505"/>
    <w:rsid w:val="007A302E"/>
    <w:rsid w:val="007A4233"/>
    <w:rsid w:val="007A4A5E"/>
    <w:rsid w:val="007A5CCE"/>
    <w:rsid w:val="007A5D8A"/>
    <w:rsid w:val="007A7AD6"/>
    <w:rsid w:val="007A7E23"/>
    <w:rsid w:val="007B01A3"/>
    <w:rsid w:val="007B256A"/>
    <w:rsid w:val="007B2A48"/>
    <w:rsid w:val="007B37AF"/>
    <w:rsid w:val="007B4155"/>
    <w:rsid w:val="007B570D"/>
    <w:rsid w:val="007B6053"/>
    <w:rsid w:val="007B6442"/>
    <w:rsid w:val="007B6EDC"/>
    <w:rsid w:val="007C01E8"/>
    <w:rsid w:val="007C022B"/>
    <w:rsid w:val="007C1F29"/>
    <w:rsid w:val="007C2AA5"/>
    <w:rsid w:val="007C3166"/>
    <w:rsid w:val="007C3271"/>
    <w:rsid w:val="007C3648"/>
    <w:rsid w:val="007C5D5D"/>
    <w:rsid w:val="007C6266"/>
    <w:rsid w:val="007C6C5F"/>
    <w:rsid w:val="007C6EE5"/>
    <w:rsid w:val="007D03CA"/>
    <w:rsid w:val="007D0408"/>
    <w:rsid w:val="007D05E6"/>
    <w:rsid w:val="007D0B7D"/>
    <w:rsid w:val="007D0D01"/>
    <w:rsid w:val="007D2094"/>
    <w:rsid w:val="007D367E"/>
    <w:rsid w:val="007D5B57"/>
    <w:rsid w:val="007D75B4"/>
    <w:rsid w:val="007D7ACC"/>
    <w:rsid w:val="007D7E07"/>
    <w:rsid w:val="007E0F52"/>
    <w:rsid w:val="007E19A1"/>
    <w:rsid w:val="007E1E2D"/>
    <w:rsid w:val="007E210E"/>
    <w:rsid w:val="007E2A10"/>
    <w:rsid w:val="007E2DC7"/>
    <w:rsid w:val="007E31C3"/>
    <w:rsid w:val="007E3E6A"/>
    <w:rsid w:val="007E4559"/>
    <w:rsid w:val="007E468C"/>
    <w:rsid w:val="007E4C70"/>
    <w:rsid w:val="007E5B32"/>
    <w:rsid w:val="007E5BF8"/>
    <w:rsid w:val="007E5C72"/>
    <w:rsid w:val="007F024D"/>
    <w:rsid w:val="007F12A2"/>
    <w:rsid w:val="007F191D"/>
    <w:rsid w:val="007F37D6"/>
    <w:rsid w:val="007F3FB8"/>
    <w:rsid w:val="007F4F4F"/>
    <w:rsid w:val="007F584F"/>
    <w:rsid w:val="007F5E4E"/>
    <w:rsid w:val="00800B06"/>
    <w:rsid w:val="00800D3F"/>
    <w:rsid w:val="00801105"/>
    <w:rsid w:val="00801BB8"/>
    <w:rsid w:val="00802A57"/>
    <w:rsid w:val="00802E85"/>
    <w:rsid w:val="00803501"/>
    <w:rsid w:val="0080358F"/>
    <w:rsid w:val="00803B60"/>
    <w:rsid w:val="00805158"/>
    <w:rsid w:val="008055FE"/>
    <w:rsid w:val="00805F99"/>
    <w:rsid w:val="0080674C"/>
    <w:rsid w:val="008069E2"/>
    <w:rsid w:val="00806B92"/>
    <w:rsid w:val="008072B1"/>
    <w:rsid w:val="00810D6A"/>
    <w:rsid w:val="00810DD4"/>
    <w:rsid w:val="0081136D"/>
    <w:rsid w:val="008134EA"/>
    <w:rsid w:val="00813614"/>
    <w:rsid w:val="008139BA"/>
    <w:rsid w:val="0081480C"/>
    <w:rsid w:val="00815034"/>
    <w:rsid w:val="008159F7"/>
    <w:rsid w:val="00815CE4"/>
    <w:rsid w:val="00816064"/>
    <w:rsid w:val="00816100"/>
    <w:rsid w:val="00816306"/>
    <w:rsid w:val="00817599"/>
    <w:rsid w:val="00817A6A"/>
    <w:rsid w:val="00817B6B"/>
    <w:rsid w:val="008225F3"/>
    <w:rsid w:val="00823442"/>
    <w:rsid w:val="00823EB5"/>
    <w:rsid w:val="008250A9"/>
    <w:rsid w:val="00825B00"/>
    <w:rsid w:val="00825B15"/>
    <w:rsid w:val="00825E4B"/>
    <w:rsid w:val="00826B69"/>
    <w:rsid w:val="00826E2D"/>
    <w:rsid w:val="00827246"/>
    <w:rsid w:val="008306A6"/>
    <w:rsid w:val="008336ED"/>
    <w:rsid w:val="00834234"/>
    <w:rsid w:val="00834D34"/>
    <w:rsid w:val="00834D85"/>
    <w:rsid w:val="00834F83"/>
    <w:rsid w:val="00835926"/>
    <w:rsid w:val="008369DF"/>
    <w:rsid w:val="008369E2"/>
    <w:rsid w:val="00836A09"/>
    <w:rsid w:val="0083722E"/>
    <w:rsid w:val="00837B67"/>
    <w:rsid w:val="00837CCB"/>
    <w:rsid w:val="008406FE"/>
    <w:rsid w:val="00840923"/>
    <w:rsid w:val="00841BD8"/>
    <w:rsid w:val="008425AF"/>
    <w:rsid w:val="00842FB6"/>
    <w:rsid w:val="008448F0"/>
    <w:rsid w:val="00844B7C"/>
    <w:rsid w:val="00845C05"/>
    <w:rsid w:val="00845D9C"/>
    <w:rsid w:val="0084664B"/>
    <w:rsid w:val="00846B04"/>
    <w:rsid w:val="00847BD0"/>
    <w:rsid w:val="00850D8C"/>
    <w:rsid w:val="00852F05"/>
    <w:rsid w:val="00854BA2"/>
    <w:rsid w:val="0085581F"/>
    <w:rsid w:val="008558FD"/>
    <w:rsid w:val="008564F5"/>
    <w:rsid w:val="00856B78"/>
    <w:rsid w:val="0086035E"/>
    <w:rsid w:val="008614C4"/>
    <w:rsid w:val="0086181A"/>
    <w:rsid w:val="00862084"/>
    <w:rsid w:val="00863D59"/>
    <w:rsid w:val="008654BA"/>
    <w:rsid w:val="0086733F"/>
    <w:rsid w:val="008679F8"/>
    <w:rsid w:val="00871362"/>
    <w:rsid w:val="008716D4"/>
    <w:rsid w:val="00871FAF"/>
    <w:rsid w:val="008721E3"/>
    <w:rsid w:val="00872633"/>
    <w:rsid w:val="008729F3"/>
    <w:rsid w:val="00873275"/>
    <w:rsid w:val="008743CF"/>
    <w:rsid w:val="00874451"/>
    <w:rsid w:val="008744C1"/>
    <w:rsid w:val="00874E39"/>
    <w:rsid w:val="00875792"/>
    <w:rsid w:val="00876209"/>
    <w:rsid w:val="00876831"/>
    <w:rsid w:val="00877283"/>
    <w:rsid w:val="008778FB"/>
    <w:rsid w:val="00877A87"/>
    <w:rsid w:val="00877E5B"/>
    <w:rsid w:val="00880826"/>
    <w:rsid w:val="00881802"/>
    <w:rsid w:val="00883DCB"/>
    <w:rsid w:val="008843D9"/>
    <w:rsid w:val="00884671"/>
    <w:rsid w:val="00884A55"/>
    <w:rsid w:val="008856C3"/>
    <w:rsid w:val="00885950"/>
    <w:rsid w:val="00886271"/>
    <w:rsid w:val="00887C2C"/>
    <w:rsid w:val="00887C83"/>
    <w:rsid w:val="00890965"/>
    <w:rsid w:val="008918C0"/>
    <w:rsid w:val="00891E31"/>
    <w:rsid w:val="008922E4"/>
    <w:rsid w:val="00892943"/>
    <w:rsid w:val="008935A8"/>
    <w:rsid w:val="00894BB5"/>
    <w:rsid w:val="00894FE5"/>
    <w:rsid w:val="00895472"/>
    <w:rsid w:val="00896711"/>
    <w:rsid w:val="00896714"/>
    <w:rsid w:val="00896F84"/>
    <w:rsid w:val="008A03A5"/>
    <w:rsid w:val="008A0B00"/>
    <w:rsid w:val="008A0FBA"/>
    <w:rsid w:val="008A10CB"/>
    <w:rsid w:val="008A142A"/>
    <w:rsid w:val="008A20E4"/>
    <w:rsid w:val="008A3510"/>
    <w:rsid w:val="008A4858"/>
    <w:rsid w:val="008A4C8B"/>
    <w:rsid w:val="008A4E51"/>
    <w:rsid w:val="008A5E0D"/>
    <w:rsid w:val="008A5E43"/>
    <w:rsid w:val="008A6C62"/>
    <w:rsid w:val="008A70E2"/>
    <w:rsid w:val="008A7A55"/>
    <w:rsid w:val="008B0425"/>
    <w:rsid w:val="008B08BA"/>
    <w:rsid w:val="008B0FA5"/>
    <w:rsid w:val="008B292D"/>
    <w:rsid w:val="008B32B5"/>
    <w:rsid w:val="008B3817"/>
    <w:rsid w:val="008B45EC"/>
    <w:rsid w:val="008B4CC9"/>
    <w:rsid w:val="008B5298"/>
    <w:rsid w:val="008B553C"/>
    <w:rsid w:val="008B645C"/>
    <w:rsid w:val="008B68C9"/>
    <w:rsid w:val="008B693A"/>
    <w:rsid w:val="008B7DEE"/>
    <w:rsid w:val="008C2156"/>
    <w:rsid w:val="008C2834"/>
    <w:rsid w:val="008C499F"/>
    <w:rsid w:val="008C53F4"/>
    <w:rsid w:val="008C5401"/>
    <w:rsid w:val="008C671E"/>
    <w:rsid w:val="008C6C7B"/>
    <w:rsid w:val="008C72B6"/>
    <w:rsid w:val="008C763E"/>
    <w:rsid w:val="008C7C2F"/>
    <w:rsid w:val="008D155C"/>
    <w:rsid w:val="008D1A73"/>
    <w:rsid w:val="008D221D"/>
    <w:rsid w:val="008D370D"/>
    <w:rsid w:val="008D3A21"/>
    <w:rsid w:val="008D6294"/>
    <w:rsid w:val="008D666E"/>
    <w:rsid w:val="008D72EE"/>
    <w:rsid w:val="008E000C"/>
    <w:rsid w:val="008E0148"/>
    <w:rsid w:val="008E0300"/>
    <w:rsid w:val="008E1F7B"/>
    <w:rsid w:val="008E2CA9"/>
    <w:rsid w:val="008E369B"/>
    <w:rsid w:val="008E36A6"/>
    <w:rsid w:val="008E3C08"/>
    <w:rsid w:val="008E438D"/>
    <w:rsid w:val="008E4DC0"/>
    <w:rsid w:val="008E4DF3"/>
    <w:rsid w:val="008E5FEC"/>
    <w:rsid w:val="008E6439"/>
    <w:rsid w:val="008E73A5"/>
    <w:rsid w:val="008E7A7A"/>
    <w:rsid w:val="008F0369"/>
    <w:rsid w:val="008F3D49"/>
    <w:rsid w:val="008F4696"/>
    <w:rsid w:val="008F533F"/>
    <w:rsid w:val="008F5895"/>
    <w:rsid w:val="008F6AE6"/>
    <w:rsid w:val="008F77DD"/>
    <w:rsid w:val="00901D42"/>
    <w:rsid w:val="0090212F"/>
    <w:rsid w:val="009024B2"/>
    <w:rsid w:val="00902DE8"/>
    <w:rsid w:val="00903D90"/>
    <w:rsid w:val="00904605"/>
    <w:rsid w:val="00906122"/>
    <w:rsid w:val="00907CEF"/>
    <w:rsid w:val="00907E4C"/>
    <w:rsid w:val="00911866"/>
    <w:rsid w:val="00913656"/>
    <w:rsid w:val="00913788"/>
    <w:rsid w:val="00913E08"/>
    <w:rsid w:val="00914264"/>
    <w:rsid w:val="00915822"/>
    <w:rsid w:val="0091702F"/>
    <w:rsid w:val="00917CE1"/>
    <w:rsid w:val="00920482"/>
    <w:rsid w:val="00920AB0"/>
    <w:rsid w:val="00920FDC"/>
    <w:rsid w:val="009217DB"/>
    <w:rsid w:val="00921B37"/>
    <w:rsid w:val="00923355"/>
    <w:rsid w:val="00924888"/>
    <w:rsid w:val="00924E94"/>
    <w:rsid w:val="00925C83"/>
    <w:rsid w:val="00927F21"/>
    <w:rsid w:val="00931726"/>
    <w:rsid w:val="00932276"/>
    <w:rsid w:val="00933645"/>
    <w:rsid w:val="00933C1A"/>
    <w:rsid w:val="00933C2C"/>
    <w:rsid w:val="00935BD9"/>
    <w:rsid w:val="00936F2C"/>
    <w:rsid w:val="009375D6"/>
    <w:rsid w:val="0094014A"/>
    <w:rsid w:val="009404C5"/>
    <w:rsid w:val="0094138E"/>
    <w:rsid w:val="00941E7A"/>
    <w:rsid w:val="009423AC"/>
    <w:rsid w:val="00942F54"/>
    <w:rsid w:val="00943C58"/>
    <w:rsid w:val="00944C8C"/>
    <w:rsid w:val="00944FF6"/>
    <w:rsid w:val="0094643B"/>
    <w:rsid w:val="009470A8"/>
    <w:rsid w:val="009512D0"/>
    <w:rsid w:val="009531FC"/>
    <w:rsid w:val="00953705"/>
    <w:rsid w:val="00953816"/>
    <w:rsid w:val="0095433D"/>
    <w:rsid w:val="00955358"/>
    <w:rsid w:val="0095539D"/>
    <w:rsid w:val="00955895"/>
    <w:rsid w:val="0095612E"/>
    <w:rsid w:val="0095621D"/>
    <w:rsid w:val="009563B1"/>
    <w:rsid w:val="009569E4"/>
    <w:rsid w:val="00956EC8"/>
    <w:rsid w:val="00956FFC"/>
    <w:rsid w:val="009571FD"/>
    <w:rsid w:val="009575A3"/>
    <w:rsid w:val="009614FD"/>
    <w:rsid w:val="00961D90"/>
    <w:rsid w:val="0096381B"/>
    <w:rsid w:val="00965E31"/>
    <w:rsid w:val="00967338"/>
    <w:rsid w:val="00967424"/>
    <w:rsid w:val="00971AAA"/>
    <w:rsid w:val="00972070"/>
    <w:rsid w:val="009724AD"/>
    <w:rsid w:val="00973080"/>
    <w:rsid w:val="0097557B"/>
    <w:rsid w:val="009758FA"/>
    <w:rsid w:val="00975D06"/>
    <w:rsid w:val="009775A6"/>
    <w:rsid w:val="0098036E"/>
    <w:rsid w:val="009836DA"/>
    <w:rsid w:val="00983BD7"/>
    <w:rsid w:val="00983F0E"/>
    <w:rsid w:val="009840C0"/>
    <w:rsid w:val="00984D0F"/>
    <w:rsid w:val="00985104"/>
    <w:rsid w:val="009852C8"/>
    <w:rsid w:val="00985F15"/>
    <w:rsid w:val="00987198"/>
    <w:rsid w:val="00987856"/>
    <w:rsid w:val="00987AED"/>
    <w:rsid w:val="00987EEE"/>
    <w:rsid w:val="00990633"/>
    <w:rsid w:val="0099177F"/>
    <w:rsid w:val="009918BB"/>
    <w:rsid w:val="0099234D"/>
    <w:rsid w:val="00994AFB"/>
    <w:rsid w:val="0099506F"/>
    <w:rsid w:val="00997A5D"/>
    <w:rsid w:val="009A0857"/>
    <w:rsid w:val="009A0CA4"/>
    <w:rsid w:val="009A129B"/>
    <w:rsid w:val="009A20A9"/>
    <w:rsid w:val="009A2823"/>
    <w:rsid w:val="009A4C65"/>
    <w:rsid w:val="009A5011"/>
    <w:rsid w:val="009A525A"/>
    <w:rsid w:val="009A5A05"/>
    <w:rsid w:val="009A5A53"/>
    <w:rsid w:val="009A664F"/>
    <w:rsid w:val="009A6FE9"/>
    <w:rsid w:val="009B0472"/>
    <w:rsid w:val="009B0B4B"/>
    <w:rsid w:val="009B0F78"/>
    <w:rsid w:val="009B27F4"/>
    <w:rsid w:val="009B3721"/>
    <w:rsid w:val="009B3905"/>
    <w:rsid w:val="009B3A1A"/>
    <w:rsid w:val="009B4535"/>
    <w:rsid w:val="009B6741"/>
    <w:rsid w:val="009B6B48"/>
    <w:rsid w:val="009B6D85"/>
    <w:rsid w:val="009B6ECB"/>
    <w:rsid w:val="009C0197"/>
    <w:rsid w:val="009C0CFD"/>
    <w:rsid w:val="009C18E9"/>
    <w:rsid w:val="009C29D9"/>
    <w:rsid w:val="009C2B6B"/>
    <w:rsid w:val="009C47D2"/>
    <w:rsid w:val="009C7D85"/>
    <w:rsid w:val="009C7E30"/>
    <w:rsid w:val="009D079A"/>
    <w:rsid w:val="009D1511"/>
    <w:rsid w:val="009D17FA"/>
    <w:rsid w:val="009D192D"/>
    <w:rsid w:val="009D37DF"/>
    <w:rsid w:val="009D3DD9"/>
    <w:rsid w:val="009D42BF"/>
    <w:rsid w:val="009D5124"/>
    <w:rsid w:val="009D5C79"/>
    <w:rsid w:val="009D6127"/>
    <w:rsid w:val="009D6AE5"/>
    <w:rsid w:val="009E04CF"/>
    <w:rsid w:val="009E1129"/>
    <w:rsid w:val="009E2734"/>
    <w:rsid w:val="009E31A6"/>
    <w:rsid w:val="009E423E"/>
    <w:rsid w:val="009E4257"/>
    <w:rsid w:val="009E61B0"/>
    <w:rsid w:val="009E6F1F"/>
    <w:rsid w:val="009E77C9"/>
    <w:rsid w:val="009E7CA0"/>
    <w:rsid w:val="009F0977"/>
    <w:rsid w:val="009F0DB3"/>
    <w:rsid w:val="009F1074"/>
    <w:rsid w:val="009F14D7"/>
    <w:rsid w:val="009F2ACA"/>
    <w:rsid w:val="009F3479"/>
    <w:rsid w:val="009F3E4F"/>
    <w:rsid w:val="009F4E98"/>
    <w:rsid w:val="009F52E4"/>
    <w:rsid w:val="009F5410"/>
    <w:rsid w:val="009F5C59"/>
    <w:rsid w:val="009F6CB1"/>
    <w:rsid w:val="009F6F22"/>
    <w:rsid w:val="009F7A28"/>
    <w:rsid w:val="00A018D0"/>
    <w:rsid w:val="00A0252F"/>
    <w:rsid w:val="00A03265"/>
    <w:rsid w:val="00A0348D"/>
    <w:rsid w:val="00A0401E"/>
    <w:rsid w:val="00A05633"/>
    <w:rsid w:val="00A05E6E"/>
    <w:rsid w:val="00A06DBB"/>
    <w:rsid w:val="00A07907"/>
    <w:rsid w:val="00A10457"/>
    <w:rsid w:val="00A111D9"/>
    <w:rsid w:val="00A116C4"/>
    <w:rsid w:val="00A119D1"/>
    <w:rsid w:val="00A1201F"/>
    <w:rsid w:val="00A129BC"/>
    <w:rsid w:val="00A12B71"/>
    <w:rsid w:val="00A12D25"/>
    <w:rsid w:val="00A12D76"/>
    <w:rsid w:val="00A12DC0"/>
    <w:rsid w:val="00A12EBE"/>
    <w:rsid w:val="00A12FDB"/>
    <w:rsid w:val="00A147FD"/>
    <w:rsid w:val="00A1556D"/>
    <w:rsid w:val="00A15D0F"/>
    <w:rsid w:val="00A175A9"/>
    <w:rsid w:val="00A175B1"/>
    <w:rsid w:val="00A21DE8"/>
    <w:rsid w:val="00A2298C"/>
    <w:rsid w:val="00A24576"/>
    <w:rsid w:val="00A25104"/>
    <w:rsid w:val="00A2594C"/>
    <w:rsid w:val="00A25C35"/>
    <w:rsid w:val="00A2698F"/>
    <w:rsid w:val="00A27977"/>
    <w:rsid w:val="00A27F95"/>
    <w:rsid w:val="00A30713"/>
    <w:rsid w:val="00A30F7E"/>
    <w:rsid w:val="00A31E0B"/>
    <w:rsid w:val="00A33439"/>
    <w:rsid w:val="00A357E2"/>
    <w:rsid w:val="00A3594C"/>
    <w:rsid w:val="00A359DF"/>
    <w:rsid w:val="00A37078"/>
    <w:rsid w:val="00A403BE"/>
    <w:rsid w:val="00A41E5E"/>
    <w:rsid w:val="00A42590"/>
    <w:rsid w:val="00A42D9E"/>
    <w:rsid w:val="00A43430"/>
    <w:rsid w:val="00A46DAF"/>
    <w:rsid w:val="00A46EF8"/>
    <w:rsid w:val="00A516BE"/>
    <w:rsid w:val="00A52B86"/>
    <w:rsid w:val="00A52D10"/>
    <w:rsid w:val="00A52DF9"/>
    <w:rsid w:val="00A53AE5"/>
    <w:rsid w:val="00A53EB2"/>
    <w:rsid w:val="00A5512F"/>
    <w:rsid w:val="00A56DB8"/>
    <w:rsid w:val="00A57A80"/>
    <w:rsid w:val="00A6014B"/>
    <w:rsid w:val="00A6029C"/>
    <w:rsid w:val="00A610D3"/>
    <w:rsid w:val="00A6123C"/>
    <w:rsid w:val="00A61821"/>
    <w:rsid w:val="00A62C8B"/>
    <w:rsid w:val="00A63620"/>
    <w:rsid w:val="00A6398E"/>
    <w:rsid w:val="00A64291"/>
    <w:rsid w:val="00A64672"/>
    <w:rsid w:val="00A64D5F"/>
    <w:rsid w:val="00A6618B"/>
    <w:rsid w:val="00A671CF"/>
    <w:rsid w:val="00A678A6"/>
    <w:rsid w:val="00A67E3C"/>
    <w:rsid w:val="00A70AAD"/>
    <w:rsid w:val="00A72FDD"/>
    <w:rsid w:val="00A73A4C"/>
    <w:rsid w:val="00A744F5"/>
    <w:rsid w:val="00A76816"/>
    <w:rsid w:val="00A7690B"/>
    <w:rsid w:val="00A769E9"/>
    <w:rsid w:val="00A7769C"/>
    <w:rsid w:val="00A776E6"/>
    <w:rsid w:val="00A77ACF"/>
    <w:rsid w:val="00A77CD6"/>
    <w:rsid w:val="00A8031D"/>
    <w:rsid w:val="00A80A3E"/>
    <w:rsid w:val="00A810C8"/>
    <w:rsid w:val="00A815E3"/>
    <w:rsid w:val="00A81A1B"/>
    <w:rsid w:val="00A81C62"/>
    <w:rsid w:val="00A81E83"/>
    <w:rsid w:val="00A824A3"/>
    <w:rsid w:val="00A859E2"/>
    <w:rsid w:val="00A87000"/>
    <w:rsid w:val="00A87460"/>
    <w:rsid w:val="00A87C88"/>
    <w:rsid w:val="00A90338"/>
    <w:rsid w:val="00A90CF0"/>
    <w:rsid w:val="00A9210F"/>
    <w:rsid w:val="00A933CF"/>
    <w:rsid w:val="00A94CD1"/>
    <w:rsid w:val="00A95017"/>
    <w:rsid w:val="00A968D1"/>
    <w:rsid w:val="00A97142"/>
    <w:rsid w:val="00AA039A"/>
    <w:rsid w:val="00AA03C8"/>
    <w:rsid w:val="00AA0D34"/>
    <w:rsid w:val="00AA1922"/>
    <w:rsid w:val="00AA1AA5"/>
    <w:rsid w:val="00AA1D08"/>
    <w:rsid w:val="00AA1F23"/>
    <w:rsid w:val="00AA2A79"/>
    <w:rsid w:val="00AA4BB9"/>
    <w:rsid w:val="00AA7B3D"/>
    <w:rsid w:val="00AA7EA0"/>
    <w:rsid w:val="00AB00A0"/>
    <w:rsid w:val="00AB0349"/>
    <w:rsid w:val="00AB0790"/>
    <w:rsid w:val="00AB0893"/>
    <w:rsid w:val="00AB0A40"/>
    <w:rsid w:val="00AB0BC4"/>
    <w:rsid w:val="00AB0CDE"/>
    <w:rsid w:val="00AB1DF6"/>
    <w:rsid w:val="00AB28D5"/>
    <w:rsid w:val="00AB33D7"/>
    <w:rsid w:val="00AB3F1B"/>
    <w:rsid w:val="00AB4702"/>
    <w:rsid w:val="00AB4821"/>
    <w:rsid w:val="00AB49C2"/>
    <w:rsid w:val="00AB4DDD"/>
    <w:rsid w:val="00AB4EC1"/>
    <w:rsid w:val="00AB51B3"/>
    <w:rsid w:val="00AB632B"/>
    <w:rsid w:val="00AB6D97"/>
    <w:rsid w:val="00AB6EB0"/>
    <w:rsid w:val="00AC0D7F"/>
    <w:rsid w:val="00AC3C94"/>
    <w:rsid w:val="00AC3CA2"/>
    <w:rsid w:val="00AC453E"/>
    <w:rsid w:val="00AC4609"/>
    <w:rsid w:val="00AC4DD3"/>
    <w:rsid w:val="00AC547A"/>
    <w:rsid w:val="00AC58FD"/>
    <w:rsid w:val="00AC64D7"/>
    <w:rsid w:val="00AC7662"/>
    <w:rsid w:val="00AC7C6D"/>
    <w:rsid w:val="00AC7D5B"/>
    <w:rsid w:val="00AD1363"/>
    <w:rsid w:val="00AD272A"/>
    <w:rsid w:val="00AD3C87"/>
    <w:rsid w:val="00AD452C"/>
    <w:rsid w:val="00AD45D3"/>
    <w:rsid w:val="00AD4C64"/>
    <w:rsid w:val="00AD4D45"/>
    <w:rsid w:val="00AD7379"/>
    <w:rsid w:val="00AE060E"/>
    <w:rsid w:val="00AE228E"/>
    <w:rsid w:val="00AE30B1"/>
    <w:rsid w:val="00AE4659"/>
    <w:rsid w:val="00AE5574"/>
    <w:rsid w:val="00AE648D"/>
    <w:rsid w:val="00AE6698"/>
    <w:rsid w:val="00AE6725"/>
    <w:rsid w:val="00AE6AE9"/>
    <w:rsid w:val="00AE7410"/>
    <w:rsid w:val="00AE7D1D"/>
    <w:rsid w:val="00AF049D"/>
    <w:rsid w:val="00AF1002"/>
    <w:rsid w:val="00AF14AE"/>
    <w:rsid w:val="00AF1BE7"/>
    <w:rsid w:val="00AF23B2"/>
    <w:rsid w:val="00AF2980"/>
    <w:rsid w:val="00AF2EEA"/>
    <w:rsid w:val="00AF32DD"/>
    <w:rsid w:val="00AF3514"/>
    <w:rsid w:val="00AF3531"/>
    <w:rsid w:val="00AF362F"/>
    <w:rsid w:val="00AF583E"/>
    <w:rsid w:val="00AF5FE5"/>
    <w:rsid w:val="00AF7FAD"/>
    <w:rsid w:val="00B00C54"/>
    <w:rsid w:val="00B00C5B"/>
    <w:rsid w:val="00B02C21"/>
    <w:rsid w:val="00B02E98"/>
    <w:rsid w:val="00B04EB8"/>
    <w:rsid w:val="00B054F6"/>
    <w:rsid w:val="00B0609F"/>
    <w:rsid w:val="00B062F2"/>
    <w:rsid w:val="00B0731E"/>
    <w:rsid w:val="00B07787"/>
    <w:rsid w:val="00B1085A"/>
    <w:rsid w:val="00B11605"/>
    <w:rsid w:val="00B11813"/>
    <w:rsid w:val="00B12573"/>
    <w:rsid w:val="00B12D80"/>
    <w:rsid w:val="00B13D84"/>
    <w:rsid w:val="00B14DD7"/>
    <w:rsid w:val="00B15EE9"/>
    <w:rsid w:val="00B17735"/>
    <w:rsid w:val="00B1781D"/>
    <w:rsid w:val="00B1789D"/>
    <w:rsid w:val="00B179E8"/>
    <w:rsid w:val="00B20499"/>
    <w:rsid w:val="00B207AA"/>
    <w:rsid w:val="00B20833"/>
    <w:rsid w:val="00B215CD"/>
    <w:rsid w:val="00B21D12"/>
    <w:rsid w:val="00B21EED"/>
    <w:rsid w:val="00B22861"/>
    <w:rsid w:val="00B23292"/>
    <w:rsid w:val="00B24B67"/>
    <w:rsid w:val="00B24D9E"/>
    <w:rsid w:val="00B2523A"/>
    <w:rsid w:val="00B256CB"/>
    <w:rsid w:val="00B26DA3"/>
    <w:rsid w:val="00B30F7F"/>
    <w:rsid w:val="00B31951"/>
    <w:rsid w:val="00B321F8"/>
    <w:rsid w:val="00B333AF"/>
    <w:rsid w:val="00B33D71"/>
    <w:rsid w:val="00B34075"/>
    <w:rsid w:val="00B354BF"/>
    <w:rsid w:val="00B35932"/>
    <w:rsid w:val="00B37807"/>
    <w:rsid w:val="00B416F7"/>
    <w:rsid w:val="00B44704"/>
    <w:rsid w:val="00B4577C"/>
    <w:rsid w:val="00B472AD"/>
    <w:rsid w:val="00B50D1E"/>
    <w:rsid w:val="00B52F7F"/>
    <w:rsid w:val="00B532B9"/>
    <w:rsid w:val="00B532C7"/>
    <w:rsid w:val="00B55832"/>
    <w:rsid w:val="00B56F1D"/>
    <w:rsid w:val="00B57535"/>
    <w:rsid w:val="00B61A0D"/>
    <w:rsid w:val="00B61B36"/>
    <w:rsid w:val="00B61FBE"/>
    <w:rsid w:val="00B6219C"/>
    <w:rsid w:val="00B62A0E"/>
    <w:rsid w:val="00B636EC"/>
    <w:rsid w:val="00B6398B"/>
    <w:rsid w:val="00B6567F"/>
    <w:rsid w:val="00B658B1"/>
    <w:rsid w:val="00B66395"/>
    <w:rsid w:val="00B66D29"/>
    <w:rsid w:val="00B67755"/>
    <w:rsid w:val="00B70125"/>
    <w:rsid w:val="00B70601"/>
    <w:rsid w:val="00B70841"/>
    <w:rsid w:val="00B70AE6"/>
    <w:rsid w:val="00B719E3"/>
    <w:rsid w:val="00B7248B"/>
    <w:rsid w:val="00B7547F"/>
    <w:rsid w:val="00B76745"/>
    <w:rsid w:val="00B8017F"/>
    <w:rsid w:val="00B804B7"/>
    <w:rsid w:val="00B80FAE"/>
    <w:rsid w:val="00B84632"/>
    <w:rsid w:val="00B85242"/>
    <w:rsid w:val="00B856A6"/>
    <w:rsid w:val="00B906C1"/>
    <w:rsid w:val="00B91DFC"/>
    <w:rsid w:val="00B93210"/>
    <w:rsid w:val="00B9392D"/>
    <w:rsid w:val="00B95589"/>
    <w:rsid w:val="00B95696"/>
    <w:rsid w:val="00B9594B"/>
    <w:rsid w:val="00B95A66"/>
    <w:rsid w:val="00B95D96"/>
    <w:rsid w:val="00B96923"/>
    <w:rsid w:val="00B96EC5"/>
    <w:rsid w:val="00BA0517"/>
    <w:rsid w:val="00BA0DB1"/>
    <w:rsid w:val="00BA10FE"/>
    <w:rsid w:val="00BA2DC6"/>
    <w:rsid w:val="00BA32FF"/>
    <w:rsid w:val="00BA3A29"/>
    <w:rsid w:val="00BA3A2E"/>
    <w:rsid w:val="00BA6970"/>
    <w:rsid w:val="00BA6E47"/>
    <w:rsid w:val="00BA7593"/>
    <w:rsid w:val="00BB0ECA"/>
    <w:rsid w:val="00BB1108"/>
    <w:rsid w:val="00BB228C"/>
    <w:rsid w:val="00BB25FB"/>
    <w:rsid w:val="00BB3250"/>
    <w:rsid w:val="00BB3A92"/>
    <w:rsid w:val="00BB42B1"/>
    <w:rsid w:val="00BB4D80"/>
    <w:rsid w:val="00BB4F94"/>
    <w:rsid w:val="00BB6DFF"/>
    <w:rsid w:val="00BC20A6"/>
    <w:rsid w:val="00BC20AE"/>
    <w:rsid w:val="00BC2316"/>
    <w:rsid w:val="00BC2623"/>
    <w:rsid w:val="00BC2A0F"/>
    <w:rsid w:val="00BC34A4"/>
    <w:rsid w:val="00BC40CB"/>
    <w:rsid w:val="00BC41A6"/>
    <w:rsid w:val="00BC4A08"/>
    <w:rsid w:val="00BC5ACC"/>
    <w:rsid w:val="00BC6BC0"/>
    <w:rsid w:val="00BC73EB"/>
    <w:rsid w:val="00BC7B0E"/>
    <w:rsid w:val="00BD5728"/>
    <w:rsid w:val="00BE10D5"/>
    <w:rsid w:val="00BE180D"/>
    <w:rsid w:val="00BE21CD"/>
    <w:rsid w:val="00BE45DB"/>
    <w:rsid w:val="00BE46C6"/>
    <w:rsid w:val="00BE5013"/>
    <w:rsid w:val="00BE6100"/>
    <w:rsid w:val="00BE6812"/>
    <w:rsid w:val="00BE76A0"/>
    <w:rsid w:val="00BF06A8"/>
    <w:rsid w:val="00BF0AFA"/>
    <w:rsid w:val="00BF0CD5"/>
    <w:rsid w:val="00BF0DA2"/>
    <w:rsid w:val="00BF2624"/>
    <w:rsid w:val="00BF69E2"/>
    <w:rsid w:val="00BF7E75"/>
    <w:rsid w:val="00C032AF"/>
    <w:rsid w:val="00C03DFB"/>
    <w:rsid w:val="00C04EE0"/>
    <w:rsid w:val="00C05A79"/>
    <w:rsid w:val="00C0639F"/>
    <w:rsid w:val="00C064E2"/>
    <w:rsid w:val="00C06A33"/>
    <w:rsid w:val="00C110A3"/>
    <w:rsid w:val="00C13BC7"/>
    <w:rsid w:val="00C13CC3"/>
    <w:rsid w:val="00C141AA"/>
    <w:rsid w:val="00C177F0"/>
    <w:rsid w:val="00C17B08"/>
    <w:rsid w:val="00C17E3D"/>
    <w:rsid w:val="00C202BE"/>
    <w:rsid w:val="00C20455"/>
    <w:rsid w:val="00C213FA"/>
    <w:rsid w:val="00C21AF6"/>
    <w:rsid w:val="00C24735"/>
    <w:rsid w:val="00C25908"/>
    <w:rsid w:val="00C266D4"/>
    <w:rsid w:val="00C26BC6"/>
    <w:rsid w:val="00C3009F"/>
    <w:rsid w:val="00C30344"/>
    <w:rsid w:val="00C314CF"/>
    <w:rsid w:val="00C323B1"/>
    <w:rsid w:val="00C32695"/>
    <w:rsid w:val="00C33609"/>
    <w:rsid w:val="00C33AE6"/>
    <w:rsid w:val="00C33EE9"/>
    <w:rsid w:val="00C349C8"/>
    <w:rsid w:val="00C35441"/>
    <w:rsid w:val="00C35CD9"/>
    <w:rsid w:val="00C3709E"/>
    <w:rsid w:val="00C418C3"/>
    <w:rsid w:val="00C41EAE"/>
    <w:rsid w:val="00C424BA"/>
    <w:rsid w:val="00C4409B"/>
    <w:rsid w:val="00C50253"/>
    <w:rsid w:val="00C52485"/>
    <w:rsid w:val="00C5281E"/>
    <w:rsid w:val="00C53365"/>
    <w:rsid w:val="00C5394D"/>
    <w:rsid w:val="00C53A3B"/>
    <w:rsid w:val="00C53D8A"/>
    <w:rsid w:val="00C541A3"/>
    <w:rsid w:val="00C56A6E"/>
    <w:rsid w:val="00C5712E"/>
    <w:rsid w:val="00C57554"/>
    <w:rsid w:val="00C609D6"/>
    <w:rsid w:val="00C60A5D"/>
    <w:rsid w:val="00C60AD1"/>
    <w:rsid w:val="00C6139B"/>
    <w:rsid w:val="00C61B65"/>
    <w:rsid w:val="00C626BA"/>
    <w:rsid w:val="00C6324A"/>
    <w:rsid w:val="00C63273"/>
    <w:rsid w:val="00C640DB"/>
    <w:rsid w:val="00C6441B"/>
    <w:rsid w:val="00C64463"/>
    <w:rsid w:val="00C65467"/>
    <w:rsid w:val="00C6553B"/>
    <w:rsid w:val="00C65E4E"/>
    <w:rsid w:val="00C664C0"/>
    <w:rsid w:val="00C677E8"/>
    <w:rsid w:val="00C7031E"/>
    <w:rsid w:val="00C710EA"/>
    <w:rsid w:val="00C719ED"/>
    <w:rsid w:val="00C720E5"/>
    <w:rsid w:val="00C7272F"/>
    <w:rsid w:val="00C73A3B"/>
    <w:rsid w:val="00C74DDB"/>
    <w:rsid w:val="00C7514D"/>
    <w:rsid w:val="00C764B3"/>
    <w:rsid w:val="00C77319"/>
    <w:rsid w:val="00C77E3A"/>
    <w:rsid w:val="00C82503"/>
    <w:rsid w:val="00C82F2A"/>
    <w:rsid w:val="00C84B8C"/>
    <w:rsid w:val="00C84BE2"/>
    <w:rsid w:val="00C861DB"/>
    <w:rsid w:val="00C864E0"/>
    <w:rsid w:val="00C87273"/>
    <w:rsid w:val="00C873EC"/>
    <w:rsid w:val="00C91716"/>
    <w:rsid w:val="00C93176"/>
    <w:rsid w:val="00C93352"/>
    <w:rsid w:val="00C938E6"/>
    <w:rsid w:val="00C9451A"/>
    <w:rsid w:val="00C945BB"/>
    <w:rsid w:val="00C951F7"/>
    <w:rsid w:val="00C9663C"/>
    <w:rsid w:val="00CA0EC4"/>
    <w:rsid w:val="00CA21C4"/>
    <w:rsid w:val="00CA2642"/>
    <w:rsid w:val="00CA5D62"/>
    <w:rsid w:val="00CA6F29"/>
    <w:rsid w:val="00CA74E6"/>
    <w:rsid w:val="00CA7604"/>
    <w:rsid w:val="00CB0853"/>
    <w:rsid w:val="00CB1094"/>
    <w:rsid w:val="00CB2B70"/>
    <w:rsid w:val="00CB30C4"/>
    <w:rsid w:val="00CB3865"/>
    <w:rsid w:val="00CB390D"/>
    <w:rsid w:val="00CB4564"/>
    <w:rsid w:val="00CB50D4"/>
    <w:rsid w:val="00CB5E5A"/>
    <w:rsid w:val="00CB66D1"/>
    <w:rsid w:val="00CB7258"/>
    <w:rsid w:val="00CB7574"/>
    <w:rsid w:val="00CC015D"/>
    <w:rsid w:val="00CC07F5"/>
    <w:rsid w:val="00CC088A"/>
    <w:rsid w:val="00CC0C92"/>
    <w:rsid w:val="00CC1543"/>
    <w:rsid w:val="00CC28B7"/>
    <w:rsid w:val="00CC2B92"/>
    <w:rsid w:val="00CC2BEE"/>
    <w:rsid w:val="00CC3647"/>
    <w:rsid w:val="00CC4974"/>
    <w:rsid w:val="00CC5182"/>
    <w:rsid w:val="00CC54C6"/>
    <w:rsid w:val="00CC572C"/>
    <w:rsid w:val="00CC5770"/>
    <w:rsid w:val="00CC5BB9"/>
    <w:rsid w:val="00CC5CFC"/>
    <w:rsid w:val="00CC6065"/>
    <w:rsid w:val="00CC6142"/>
    <w:rsid w:val="00CC6BC3"/>
    <w:rsid w:val="00CD0313"/>
    <w:rsid w:val="00CD0F0B"/>
    <w:rsid w:val="00CD2CDA"/>
    <w:rsid w:val="00CD3836"/>
    <w:rsid w:val="00CD417D"/>
    <w:rsid w:val="00CD4285"/>
    <w:rsid w:val="00CD55E6"/>
    <w:rsid w:val="00CD666F"/>
    <w:rsid w:val="00CE1C36"/>
    <w:rsid w:val="00CE221A"/>
    <w:rsid w:val="00CE22BF"/>
    <w:rsid w:val="00CE31D0"/>
    <w:rsid w:val="00CE32A1"/>
    <w:rsid w:val="00CE3846"/>
    <w:rsid w:val="00CE462F"/>
    <w:rsid w:val="00CE4EAA"/>
    <w:rsid w:val="00CE6752"/>
    <w:rsid w:val="00CE71B5"/>
    <w:rsid w:val="00CE794C"/>
    <w:rsid w:val="00CE7C21"/>
    <w:rsid w:val="00CE7CC7"/>
    <w:rsid w:val="00CF0908"/>
    <w:rsid w:val="00CF0ADF"/>
    <w:rsid w:val="00CF22D6"/>
    <w:rsid w:val="00CF3142"/>
    <w:rsid w:val="00CF382B"/>
    <w:rsid w:val="00CF4379"/>
    <w:rsid w:val="00CF463B"/>
    <w:rsid w:val="00CF48B0"/>
    <w:rsid w:val="00CF5478"/>
    <w:rsid w:val="00CF6D4D"/>
    <w:rsid w:val="00D00536"/>
    <w:rsid w:val="00D014CD"/>
    <w:rsid w:val="00D01D7F"/>
    <w:rsid w:val="00D03AA0"/>
    <w:rsid w:val="00D0432C"/>
    <w:rsid w:val="00D04F11"/>
    <w:rsid w:val="00D05F3E"/>
    <w:rsid w:val="00D06441"/>
    <w:rsid w:val="00D0741A"/>
    <w:rsid w:val="00D11552"/>
    <w:rsid w:val="00D12EA4"/>
    <w:rsid w:val="00D16190"/>
    <w:rsid w:val="00D176C7"/>
    <w:rsid w:val="00D17E73"/>
    <w:rsid w:val="00D2026B"/>
    <w:rsid w:val="00D21254"/>
    <w:rsid w:val="00D2254E"/>
    <w:rsid w:val="00D23111"/>
    <w:rsid w:val="00D232CF"/>
    <w:rsid w:val="00D23D7F"/>
    <w:rsid w:val="00D24146"/>
    <w:rsid w:val="00D2530E"/>
    <w:rsid w:val="00D26CFC"/>
    <w:rsid w:val="00D26E24"/>
    <w:rsid w:val="00D270D7"/>
    <w:rsid w:val="00D27C0C"/>
    <w:rsid w:val="00D307FF"/>
    <w:rsid w:val="00D30DAE"/>
    <w:rsid w:val="00D30F9B"/>
    <w:rsid w:val="00D314D3"/>
    <w:rsid w:val="00D3172A"/>
    <w:rsid w:val="00D31B65"/>
    <w:rsid w:val="00D31F21"/>
    <w:rsid w:val="00D32420"/>
    <w:rsid w:val="00D33C59"/>
    <w:rsid w:val="00D3436C"/>
    <w:rsid w:val="00D406EC"/>
    <w:rsid w:val="00D408C9"/>
    <w:rsid w:val="00D4140E"/>
    <w:rsid w:val="00D41D97"/>
    <w:rsid w:val="00D42596"/>
    <w:rsid w:val="00D4275F"/>
    <w:rsid w:val="00D4317B"/>
    <w:rsid w:val="00D4363D"/>
    <w:rsid w:val="00D44B45"/>
    <w:rsid w:val="00D458A8"/>
    <w:rsid w:val="00D469C5"/>
    <w:rsid w:val="00D47015"/>
    <w:rsid w:val="00D474BB"/>
    <w:rsid w:val="00D47D20"/>
    <w:rsid w:val="00D501A4"/>
    <w:rsid w:val="00D53D99"/>
    <w:rsid w:val="00D54658"/>
    <w:rsid w:val="00D54AB3"/>
    <w:rsid w:val="00D54C30"/>
    <w:rsid w:val="00D56BCD"/>
    <w:rsid w:val="00D57299"/>
    <w:rsid w:val="00D576FC"/>
    <w:rsid w:val="00D57F55"/>
    <w:rsid w:val="00D60154"/>
    <w:rsid w:val="00D61724"/>
    <w:rsid w:val="00D6314B"/>
    <w:rsid w:val="00D633EF"/>
    <w:rsid w:val="00D640DF"/>
    <w:rsid w:val="00D64198"/>
    <w:rsid w:val="00D658CE"/>
    <w:rsid w:val="00D65CB5"/>
    <w:rsid w:val="00D66C41"/>
    <w:rsid w:val="00D67C3D"/>
    <w:rsid w:val="00D67C7C"/>
    <w:rsid w:val="00D67DC4"/>
    <w:rsid w:val="00D70B9B"/>
    <w:rsid w:val="00D711F5"/>
    <w:rsid w:val="00D71AEA"/>
    <w:rsid w:val="00D71D45"/>
    <w:rsid w:val="00D7362C"/>
    <w:rsid w:val="00D74211"/>
    <w:rsid w:val="00D75241"/>
    <w:rsid w:val="00D775A3"/>
    <w:rsid w:val="00D77873"/>
    <w:rsid w:val="00D80D78"/>
    <w:rsid w:val="00D80F71"/>
    <w:rsid w:val="00D82DF2"/>
    <w:rsid w:val="00D83C5E"/>
    <w:rsid w:val="00D85D7F"/>
    <w:rsid w:val="00D86135"/>
    <w:rsid w:val="00D8654A"/>
    <w:rsid w:val="00D86760"/>
    <w:rsid w:val="00D8733F"/>
    <w:rsid w:val="00D87842"/>
    <w:rsid w:val="00D9010A"/>
    <w:rsid w:val="00D90416"/>
    <w:rsid w:val="00D90A11"/>
    <w:rsid w:val="00D9101B"/>
    <w:rsid w:val="00D925FA"/>
    <w:rsid w:val="00D928DE"/>
    <w:rsid w:val="00D938E5"/>
    <w:rsid w:val="00D95049"/>
    <w:rsid w:val="00D95299"/>
    <w:rsid w:val="00D953AE"/>
    <w:rsid w:val="00D95DEB"/>
    <w:rsid w:val="00D95F6E"/>
    <w:rsid w:val="00D96C10"/>
    <w:rsid w:val="00DA0B86"/>
    <w:rsid w:val="00DA0C0E"/>
    <w:rsid w:val="00DA0D88"/>
    <w:rsid w:val="00DA1825"/>
    <w:rsid w:val="00DA1EA1"/>
    <w:rsid w:val="00DA2EF7"/>
    <w:rsid w:val="00DA35DC"/>
    <w:rsid w:val="00DA3B92"/>
    <w:rsid w:val="00DA414A"/>
    <w:rsid w:val="00DA43D0"/>
    <w:rsid w:val="00DA45F4"/>
    <w:rsid w:val="00DA4CF0"/>
    <w:rsid w:val="00DA5F90"/>
    <w:rsid w:val="00DA671F"/>
    <w:rsid w:val="00DB0616"/>
    <w:rsid w:val="00DB168A"/>
    <w:rsid w:val="00DB192B"/>
    <w:rsid w:val="00DB3370"/>
    <w:rsid w:val="00DB4A5B"/>
    <w:rsid w:val="00DB4CE3"/>
    <w:rsid w:val="00DB5E7D"/>
    <w:rsid w:val="00DB72B1"/>
    <w:rsid w:val="00DC04F2"/>
    <w:rsid w:val="00DC1109"/>
    <w:rsid w:val="00DC34FA"/>
    <w:rsid w:val="00DC39F1"/>
    <w:rsid w:val="00DC4A36"/>
    <w:rsid w:val="00DC5377"/>
    <w:rsid w:val="00DC5980"/>
    <w:rsid w:val="00DC691E"/>
    <w:rsid w:val="00DD0DA0"/>
    <w:rsid w:val="00DD147B"/>
    <w:rsid w:val="00DD1906"/>
    <w:rsid w:val="00DD1D2E"/>
    <w:rsid w:val="00DD21F1"/>
    <w:rsid w:val="00DD2219"/>
    <w:rsid w:val="00DD34C1"/>
    <w:rsid w:val="00DD3E29"/>
    <w:rsid w:val="00DD55B3"/>
    <w:rsid w:val="00DD6DAE"/>
    <w:rsid w:val="00DD799F"/>
    <w:rsid w:val="00DE0989"/>
    <w:rsid w:val="00DE0A4E"/>
    <w:rsid w:val="00DE0D4D"/>
    <w:rsid w:val="00DE221D"/>
    <w:rsid w:val="00DE513B"/>
    <w:rsid w:val="00DE5D00"/>
    <w:rsid w:val="00DE5D5D"/>
    <w:rsid w:val="00DE60A3"/>
    <w:rsid w:val="00DE6E0C"/>
    <w:rsid w:val="00DF1F9F"/>
    <w:rsid w:val="00DF20FA"/>
    <w:rsid w:val="00DF2592"/>
    <w:rsid w:val="00DF2AE7"/>
    <w:rsid w:val="00DF3346"/>
    <w:rsid w:val="00DF452A"/>
    <w:rsid w:val="00DF4E89"/>
    <w:rsid w:val="00DF6BA3"/>
    <w:rsid w:val="00DF75B8"/>
    <w:rsid w:val="00E0010E"/>
    <w:rsid w:val="00E00FD7"/>
    <w:rsid w:val="00E0154F"/>
    <w:rsid w:val="00E029A4"/>
    <w:rsid w:val="00E03CCC"/>
    <w:rsid w:val="00E046E2"/>
    <w:rsid w:val="00E05B28"/>
    <w:rsid w:val="00E05FDE"/>
    <w:rsid w:val="00E079CA"/>
    <w:rsid w:val="00E07F03"/>
    <w:rsid w:val="00E101CC"/>
    <w:rsid w:val="00E109B2"/>
    <w:rsid w:val="00E120D6"/>
    <w:rsid w:val="00E1220C"/>
    <w:rsid w:val="00E12A3E"/>
    <w:rsid w:val="00E13EFB"/>
    <w:rsid w:val="00E141C0"/>
    <w:rsid w:val="00E141E0"/>
    <w:rsid w:val="00E14D78"/>
    <w:rsid w:val="00E159F3"/>
    <w:rsid w:val="00E161A4"/>
    <w:rsid w:val="00E2026A"/>
    <w:rsid w:val="00E20AF7"/>
    <w:rsid w:val="00E210AD"/>
    <w:rsid w:val="00E2147A"/>
    <w:rsid w:val="00E2197A"/>
    <w:rsid w:val="00E22BF1"/>
    <w:rsid w:val="00E236FD"/>
    <w:rsid w:val="00E24CB1"/>
    <w:rsid w:val="00E2565D"/>
    <w:rsid w:val="00E25884"/>
    <w:rsid w:val="00E26335"/>
    <w:rsid w:val="00E26CFF"/>
    <w:rsid w:val="00E30B38"/>
    <w:rsid w:val="00E30EBB"/>
    <w:rsid w:val="00E31B5D"/>
    <w:rsid w:val="00E335B2"/>
    <w:rsid w:val="00E33609"/>
    <w:rsid w:val="00E336D8"/>
    <w:rsid w:val="00E337D9"/>
    <w:rsid w:val="00E35B3E"/>
    <w:rsid w:val="00E379DB"/>
    <w:rsid w:val="00E409F7"/>
    <w:rsid w:val="00E42D4A"/>
    <w:rsid w:val="00E4535A"/>
    <w:rsid w:val="00E46392"/>
    <w:rsid w:val="00E47682"/>
    <w:rsid w:val="00E47F8E"/>
    <w:rsid w:val="00E5148E"/>
    <w:rsid w:val="00E517E3"/>
    <w:rsid w:val="00E51E97"/>
    <w:rsid w:val="00E51FED"/>
    <w:rsid w:val="00E520BA"/>
    <w:rsid w:val="00E53C0D"/>
    <w:rsid w:val="00E543E5"/>
    <w:rsid w:val="00E54425"/>
    <w:rsid w:val="00E54D2C"/>
    <w:rsid w:val="00E56977"/>
    <w:rsid w:val="00E576DA"/>
    <w:rsid w:val="00E57D76"/>
    <w:rsid w:val="00E606CC"/>
    <w:rsid w:val="00E60910"/>
    <w:rsid w:val="00E614C5"/>
    <w:rsid w:val="00E61576"/>
    <w:rsid w:val="00E626C1"/>
    <w:rsid w:val="00E62E46"/>
    <w:rsid w:val="00E62F20"/>
    <w:rsid w:val="00E633DD"/>
    <w:rsid w:val="00E633EA"/>
    <w:rsid w:val="00E63C37"/>
    <w:rsid w:val="00E640B6"/>
    <w:rsid w:val="00E64A31"/>
    <w:rsid w:val="00E664C4"/>
    <w:rsid w:val="00E66E4F"/>
    <w:rsid w:val="00E70D37"/>
    <w:rsid w:val="00E70F71"/>
    <w:rsid w:val="00E70F7D"/>
    <w:rsid w:val="00E711D9"/>
    <w:rsid w:val="00E711E0"/>
    <w:rsid w:val="00E714A0"/>
    <w:rsid w:val="00E7278B"/>
    <w:rsid w:val="00E73734"/>
    <w:rsid w:val="00E73CE4"/>
    <w:rsid w:val="00E7458C"/>
    <w:rsid w:val="00E75362"/>
    <w:rsid w:val="00E757CA"/>
    <w:rsid w:val="00E75A58"/>
    <w:rsid w:val="00E7613E"/>
    <w:rsid w:val="00E76DDC"/>
    <w:rsid w:val="00E76F88"/>
    <w:rsid w:val="00E77EE7"/>
    <w:rsid w:val="00E8027D"/>
    <w:rsid w:val="00E82000"/>
    <w:rsid w:val="00E8423E"/>
    <w:rsid w:val="00E84598"/>
    <w:rsid w:val="00E84F60"/>
    <w:rsid w:val="00E85979"/>
    <w:rsid w:val="00E8661F"/>
    <w:rsid w:val="00E8785F"/>
    <w:rsid w:val="00E87B71"/>
    <w:rsid w:val="00E87D16"/>
    <w:rsid w:val="00E9016E"/>
    <w:rsid w:val="00E905CD"/>
    <w:rsid w:val="00E90904"/>
    <w:rsid w:val="00E90B7B"/>
    <w:rsid w:val="00E914CD"/>
    <w:rsid w:val="00E928C4"/>
    <w:rsid w:val="00E92EF6"/>
    <w:rsid w:val="00E93B6B"/>
    <w:rsid w:val="00E94060"/>
    <w:rsid w:val="00E94C8F"/>
    <w:rsid w:val="00E956BD"/>
    <w:rsid w:val="00E95843"/>
    <w:rsid w:val="00E964ED"/>
    <w:rsid w:val="00E9677E"/>
    <w:rsid w:val="00E9729D"/>
    <w:rsid w:val="00EA24EE"/>
    <w:rsid w:val="00EA2CFF"/>
    <w:rsid w:val="00EA35FE"/>
    <w:rsid w:val="00EA4ECE"/>
    <w:rsid w:val="00EA54F3"/>
    <w:rsid w:val="00EA63FE"/>
    <w:rsid w:val="00EA6D75"/>
    <w:rsid w:val="00EA6DFB"/>
    <w:rsid w:val="00EA74F4"/>
    <w:rsid w:val="00EB0B26"/>
    <w:rsid w:val="00EB0DC4"/>
    <w:rsid w:val="00EB4571"/>
    <w:rsid w:val="00EB4BE9"/>
    <w:rsid w:val="00EB7B0D"/>
    <w:rsid w:val="00EB7D58"/>
    <w:rsid w:val="00EC1CAD"/>
    <w:rsid w:val="00EC37D2"/>
    <w:rsid w:val="00EC54D6"/>
    <w:rsid w:val="00EC5AFE"/>
    <w:rsid w:val="00ED044F"/>
    <w:rsid w:val="00ED1FE8"/>
    <w:rsid w:val="00ED4048"/>
    <w:rsid w:val="00ED46DC"/>
    <w:rsid w:val="00ED51E3"/>
    <w:rsid w:val="00ED534F"/>
    <w:rsid w:val="00ED5801"/>
    <w:rsid w:val="00ED5CEA"/>
    <w:rsid w:val="00ED65F0"/>
    <w:rsid w:val="00ED665B"/>
    <w:rsid w:val="00EE134B"/>
    <w:rsid w:val="00EE1AA1"/>
    <w:rsid w:val="00EE207C"/>
    <w:rsid w:val="00EE2440"/>
    <w:rsid w:val="00EE4721"/>
    <w:rsid w:val="00EE5A39"/>
    <w:rsid w:val="00EE623B"/>
    <w:rsid w:val="00EE6ACB"/>
    <w:rsid w:val="00EE6D5A"/>
    <w:rsid w:val="00EE6EB8"/>
    <w:rsid w:val="00EE76BE"/>
    <w:rsid w:val="00EF0876"/>
    <w:rsid w:val="00EF0EC6"/>
    <w:rsid w:val="00EF3D8B"/>
    <w:rsid w:val="00EF46B6"/>
    <w:rsid w:val="00EF4C4C"/>
    <w:rsid w:val="00EF5BFD"/>
    <w:rsid w:val="00EF69EA"/>
    <w:rsid w:val="00EF6DEA"/>
    <w:rsid w:val="00EF76B7"/>
    <w:rsid w:val="00F00755"/>
    <w:rsid w:val="00F00934"/>
    <w:rsid w:val="00F009A6"/>
    <w:rsid w:val="00F01EB0"/>
    <w:rsid w:val="00F02609"/>
    <w:rsid w:val="00F04010"/>
    <w:rsid w:val="00F04201"/>
    <w:rsid w:val="00F044B5"/>
    <w:rsid w:val="00F044B7"/>
    <w:rsid w:val="00F045B9"/>
    <w:rsid w:val="00F04E2E"/>
    <w:rsid w:val="00F05534"/>
    <w:rsid w:val="00F055C2"/>
    <w:rsid w:val="00F0577B"/>
    <w:rsid w:val="00F0635A"/>
    <w:rsid w:val="00F06404"/>
    <w:rsid w:val="00F06C31"/>
    <w:rsid w:val="00F06CCD"/>
    <w:rsid w:val="00F07A24"/>
    <w:rsid w:val="00F100EF"/>
    <w:rsid w:val="00F10836"/>
    <w:rsid w:val="00F10A7B"/>
    <w:rsid w:val="00F11307"/>
    <w:rsid w:val="00F12399"/>
    <w:rsid w:val="00F13F09"/>
    <w:rsid w:val="00F14524"/>
    <w:rsid w:val="00F145F8"/>
    <w:rsid w:val="00F1495B"/>
    <w:rsid w:val="00F1575B"/>
    <w:rsid w:val="00F15CB1"/>
    <w:rsid w:val="00F16DA0"/>
    <w:rsid w:val="00F17BFF"/>
    <w:rsid w:val="00F202CD"/>
    <w:rsid w:val="00F213EB"/>
    <w:rsid w:val="00F22778"/>
    <w:rsid w:val="00F23420"/>
    <w:rsid w:val="00F25A1A"/>
    <w:rsid w:val="00F26194"/>
    <w:rsid w:val="00F2651B"/>
    <w:rsid w:val="00F268A9"/>
    <w:rsid w:val="00F272C6"/>
    <w:rsid w:val="00F27584"/>
    <w:rsid w:val="00F3077C"/>
    <w:rsid w:val="00F30815"/>
    <w:rsid w:val="00F3213F"/>
    <w:rsid w:val="00F337C1"/>
    <w:rsid w:val="00F33A42"/>
    <w:rsid w:val="00F37716"/>
    <w:rsid w:val="00F37CB0"/>
    <w:rsid w:val="00F40118"/>
    <w:rsid w:val="00F40D2F"/>
    <w:rsid w:val="00F446C2"/>
    <w:rsid w:val="00F4488E"/>
    <w:rsid w:val="00F50946"/>
    <w:rsid w:val="00F50CC6"/>
    <w:rsid w:val="00F50F84"/>
    <w:rsid w:val="00F5152C"/>
    <w:rsid w:val="00F5185A"/>
    <w:rsid w:val="00F5486D"/>
    <w:rsid w:val="00F54A8B"/>
    <w:rsid w:val="00F54D81"/>
    <w:rsid w:val="00F54DF3"/>
    <w:rsid w:val="00F55436"/>
    <w:rsid w:val="00F559CD"/>
    <w:rsid w:val="00F5603F"/>
    <w:rsid w:val="00F56179"/>
    <w:rsid w:val="00F5694E"/>
    <w:rsid w:val="00F56BB6"/>
    <w:rsid w:val="00F6102A"/>
    <w:rsid w:val="00F61283"/>
    <w:rsid w:val="00F61303"/>
    <w:rsid w:val="00F624B0"/>
    <w:rsid w:val="00F650D4"/>
    <w:rsid w:val="00F703AF"/>
    <w:rsid w:val="00F706DB"/>
    <w:rsid w:val="00F70FDB"/>
    <w:rsid w:val="00F71E38"/>
    <w:rsid w:val="00F72A6A"/>
    <w:rsid w:val="00F73B21"/>
    <w:rsid w:val="00F7424D"/>
    <w:rsid w:val="00F7454E"/>
    <w:rsid w:val="00F74FD1"/>
    <w:rsid w:val="00F76065"/>
    <w:rsid w:val="00F76E50"/>
    <w:rsid w:val="00F82378"/>
    <w:rsid w:val="00F82415"/>
    <w:rsid w:val="00F825D7"/>
    <w:rsid w:val="00F82DCA"/>
    <w:rsid w:val="00F843B5"/>
    <w:rsid w:val="00F86720"/>
    <w:rsid w:val="00F8762E"/>
    <w:rsid w:val="00F8789E"/>
    <w:rsid w:val="00F92701"/>
    <w:rsid w:val="00F94169"/>
    <w:rsid w:val="00F94468"/>
    <w:rsid w:val="00F94A1F"/>
    <w:rsid w:val="00F94EF9"/>
    <w:rsid w:val="00F956C8"/>
    <w:rsid w:val="00F9633B"/>
    <w:rsid w:val="00F97799"/>
    <w:rsid w:val="00F97D30"/>
    <w:rsid w:val="00FA001A"/>
    <w:rsid w:val="00FA1DF8"/>
    <w:rsid w:val="00FA2C05"/>
    <w:rsid w:val="00FA3171"/>
    <w:rsid w:val="00FA4175"/>
    <w:rsid w:val="00FA43A8"/>
    <w:rsid w:val="00FA55C6"/>
    <w:rsid w:val="00FA755C"/>
    <w:rsid w:val="00FA7708"/>
    <w:rsid w:val="00FA795C"/>
    <w:rsid w:val="00FA7A73"/>
    <w:rsid w:val="00FA7E92"/>
    <w:rsid w:val="00FB06DB"/>
    <w:rsid w:val="00FB0CDD"/>
    <w:rsid w:val="00FB160B"/>
    <w:rsid w:val="00FB1CE0"/>
    <w:rsid w:val="00FB20B9"/>
    <w:rsid w:val="00FB20C5"/>
    <w:rsid w:val="00FB294D"/>
    <w:rsid w:val="00FB3EB7"/>
    <w:rsid w:val="00FB4772"/>
    <w:rsid w:val="00FB63E9"/>
    <w:rsid w:val="00FB683F"/>
    <w:rsid w:val="00FB7418"/>
    <w:rsid w:val="00FB7808"/>
    <w:rsid w:val="00FB7A6A"/>
    <w:rsid w:val="00FB7F54"/>
    <w:rsid w:val="00FC1A77"/>
    <w:rsid w:val="00FC1B57"/>
    <w:rsid w:val="00FC3402"/>
    <w:rsid w:val="00FC6B95"/>
    <w:rsid w:val="00FD09C1"/>
    <w:rsid w:val="00FD0C4F"/>
    <w:rsid w:val="00FD10DD"/>
    <w:rsid w:val="00FD18C2"/>
    <w:rsid w:val="00FD19D0"/>
    <w:rsid w:val="00FD1D25"/>
    <w:rsid w:val="00FD2E97"/>
    <w:rsid w:val="00FD37FE"/>
    <w:rsid w:val="00FD480B"/>
    <w:rsid w:val="00FD5113"/>
    <w:rsid w:val="00FD6937"/>
    <w:rsid w:val="00FE014F"/>
    <w:rsid w:val="00FE0222"/>
    <w:rsid w:val="00FE0AD5"/>
    <w:rsid w:val="00FE23FC"/>
    <w:rsid w:val="00FE2785"/>
    <w:rsid w:val="00FE297A"/>
    <w:rsid w:val="00FE2B65"/>
    <w:rsid w:val="00FE46C0"/>
    <w:rsid w:val="00FE4C6D"/>
    <w:rsid w:val="00FE55BF"/>
    <w:rsid w:val="00FE6620"/>
    <w:rsid w:val="00FE6E29"/>
    <w:rsid w:val="00FE77B1"/>
    <w:rsid w:val="00FF03A9"/>
    <w:rsid w:val="00FF0E9F"/>
    <w:rsid w:val="00FF11B0"/>
    <w:rsid w:val="00FF1E6B"/>
    <w:rsid w:val="00FF1FAC"/>
    <w:rsid w:val="00FF3F72"/>
    <w:rsid w:val="00FF46D8"/>
    <w:rsid w:val="00FF4B5E"/>
    <w:rsid w:val="00FF4C0A"/>
    <w:rsid w:val="00FF7ECE"/>
    <w:rsid w:val="09F8E6B7"/>
    <w:rsid w:val="6A74672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2299D11B-65B2-4354-928C-D31CA0F7E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F97"/>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character" w:customStyle="1" w:styleId="PrrafodelistaCar">
    <w:name w:val="Párrafo de lista Car"/>
    <w:aliases w:val="EY EPM - Lista Car"/>
    <w:link w:val="Prrafodelista"/>
    <w:uiPriority w:val="34"/>
    <w:locked/>
    <w:rsid w:val="008D1A73"/>
  </w:style>
  <w:style w:type="paragraph" w:customStyle="1" w:styleId="paragraph">
    <w:name w:val="paragraph"/>
    <w:basedOn w:val="Normal"/>
    <w:rsid w:val="0044152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Revisin">
    <w:name w:val="Revision"/>
    <w:hidden/>
    <w:uiPriority w:val="99"/>
    <w:semiHidden/>
    <w:rsid w:val="00C7272F"/>
    <w:pPr>
      <w:spacing w:after="0" w:line="240" w:lineRule="auto"/>
    </w:pPr>
  </w:style>
  <w:style w:type="character" w:customStyle="1" w:styleId="normaltextrun">
    <w:name w:val="normaltextrun"/>
    <w:basedOn w:val="Fuentedeprrafopredeter"/>
    <w:rsid w:val="008C671E"/>
  </w:style>
  <w:style w:type="character" w:styleId="Refdecomentario">
    <w:name w:val="annotation reference"/>
    <w:basedOn w:val="Fuentedeprrafopredeter"/>
    <w:uiPriority w:val="99"/>
    <w:semiHidden/>
    <w:unhideWhenUsed/>
    <w:rsid w:val="00CE7C21"/>
    <w:rPr>
      <w:sz w:val="16"/>
      <w:szCs w:val="16"/>
    </w:rPr>
  </w:style>
  <w:style w:type="paragraph" w:styleId="Textocomentario">
    <w:name w:val="annotation text"/>
    <w:basedOn w:val="Normal"/>
    <w:link w:val="TextocomentarioCar"/>
    <w:uiPriority w:val="99"/>
    <w:unhideWhenUsed/>
    <w:rsid w:val="00CE7C21"/>
    <w:pPr>
      <w:spacing w:line="240" w:lineRule="auto"/>
    </w:pPr>
    <w:rPr>
      <w:sz w:val="20"/>
      <w:szCs w:val="20"/>
    </w:rPr>
  </w:style>
  <w:style w:type="character" w:customStyle="1" w:styleId="TextocomentarioCar">
    <w:name w:val="Texto comentario Car"/>
    <w:basedOn w:val="Fuentedeprrafopredeter"/>
    <w:link w:val="Textocomentario"/>
    <w:uiPriority w:val="99"/>
    <w:rsid w:val="00CE7C21"/>
    <w:rPr>
      <w:sz w:val="20"/>
      <w:szCs w:val="20"/>
    </w:rPr>
  </w:style>
  <w:style w:type="paragraph" w:styleId="Asuntodelcomentario">
    <w:name w:val="annotation subject"/>
    <w:basedOn w:val="Textocomentario"/>
    <w:next w:val="Textocomentario"/>
    <w:link w:val="AsuntodelcomentarioCar"/>
    <w:uiPriority w:val="99"/>
    <w:semiHidden/>
    <w:unhideWhenUsed/>
    <w:rsid w:val="00CE7C21"/>
    <w:rPr>
      <w:b/>
      <w:bCs/>
    </w:rPr>
  </w:style>
  <w:style w:type="character" w:customStyle="1" w:styleId="AsuntodelcomentarioCar">
    <w:name w:val="Asunto del comentario Car"/>
    <w:basedOn w:val="TextocomentarioCar"/>
    <w:link w:val="Asuntodelcomentario"/>
    <w:uiPriority w:val="99"/>
    <w:semiHidden/>
    <w:rsid w:val="00CE7C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4554">
      <w:bodyDiv w:val="1"/>
      <w:marLeft w:val="0"/>
      <w:marRight w:val="0"/>
      <w:marTop w:val="0"/>
      <w:marBottom w:val="0"/>
      <w:divBdr>
        <w:top w:val="none" w:sz="0" w:space="0" w:color="auto"/>
        <w:left w:val="none" w:sz="0" w:space="0" w:color="auto"/>
        <w:bottom w:val="none" w:sz="0" w:space="0" w:color="auto"/>
        <w:right w:val="none" w:sz="0" w:space="0" w:color="auto"/>
      </w:divBdr>
    </w:div>
    <w:div w:id="458962395">
      <w:bodyDiv w:val="1"/>
      <w:marLeft w:val="0"/>
      <w:marRight w:val="0"/>
      <w:marTop w:val="0"/>
      <w:marBottom w:val="0"/>
      <w:divBdr>
        <w:top w:val="none" w:sz="0" w:space="0" w:color="auto"/>
        <w:left w:val="none" w:sz="0" w:space="0" w:color="auto"/>
        <w:bottom w:val="none" w:sz="0" w:space="0" w:color="auto"/>
        <w:right w:val="none" w:sz="0" w:space="0" w:color="auto"/>
      </w:divBdr>
    </w:div>
    <w:div w:id="1658803916">
      <w:bodyDiv w:val="1"/>
      <w:marLeft w:val="0"/>
      <w:marRight w:val="0"/>
      <w:marTop w:val="0"/>
      <w:marBottom w:val="0"/>
      <w:divBdr>
        <w:top w:val="none" w:sz="0" w:space="0" w:color="auto"/>
        <w:left w:val="none" w:sz="0" w:space="0" w:color="auto"/>
        <w:bottom w:val="none" w:sz="0" w:space="0" w:color="auto"/>
        <w:right w:val="none" w:sz="0" w:space="0" w:color="auto"/>
      </w:divBdr>
      <w:divsChild>
        <w:div w:id="1405637714">
          <w:marLeft w:val="0"/>
          <w:marRight w:val="0"/>
          <w:marTop w:val="0"/>
          <w:marBottom w:val="0"/>
          <w:divBdr>
            <w:top w:val="none" w:sz="0" w:space="0" w:color="auto"/>
            <w:left w:val="none" w:sz="0" w:space="0" w:color="auto"/>
            <w:bottom w:val="none" w:sz="0" w:space="0" w:color="auto"/>
            <w:right w:val="none" w:sz="0" w:space="0" w:color="auto"/>
          </w:divBdr>
        </w:div>
      </w:divsChild>
    </w:div>
    <w:div w:id="1884099375">
      <w:bodyDiv w:val="1"/>
      <w:marLeft w:val="0"/>
      <w:marRight w:val="0"/>
      <w:marTop w:val="0"/>
      <w:marBottom w:val="0"/>
      <w:divBdr>
        <w:top w:val="none" w:sz="0" w:space="0" w:color="auto"/>
        <w:left w:val="none" w:sz="0" w:space="0" w:color="auto"/>
        <w:bottom w:val="none" w:sz="0" w:space="0" w:color="auto"/>
        <w:right w:val="none" w:sz="0" w:space="0" w:color="auto"/>
      </w:divBdr>
      <w:divsChild>
        <w:div w:id="13630215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72162BEF-52F0-4310-94FC-A7015C0D5DDE}">
  <ds:schemaRefs>
    <ds:schemaRef ds:uri="http://schemas.openxmlformats.org/officeDocument/2006/bibliography"/>
  </ds:schemaRefs>
</ds:datastoreItem>
</file>

<file path=customXml/itemProps3.xml><?xml version="1.0" encoding="utf-8"?>
<ds:datastoreItem xmlns:ds="http://schemas.openxmlformats.org/officeDocument/2006/customXml" ds:itemID="{997C8AB1-AD1A-47FB-BED8-77DC0B287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FF0E48-35D5-4BAC-889B-383B8F140AA7}">
  <ds:schemaRefs>
    <ds:schemaRef ds:uri="http://purl.org/dc/elements/1.1/"/>
    <ds:schemaRef ds:uri="http://purl.org/dc/dcmitype/"/>
    <ds:schemaRef ds:uri="http://schemas.microsoft.com/office/2006/documentManagement/types"/>
    <ds:schemaRef ds:uri="9056d983-1374-4724-9f8d-2ef5b64379db"/>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7289</TotalTime>
  <Pages>72</Pages>
  <Words>34914</Words>
  <Characters>188739</Characters>
  <Application>Microsoft Office Word</Application>
  <DocSecurity>0</DocSecurity>
  <Lines>4004</Lines>
  <Paragraphs>1368</Paragraphs>
  <ScaleCrop>false</ScaleCrop>
  <Company/>
  <LinksUpToDate>false</LinksUpToDate>
  <CharactersWithSpaces>222412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2646</cp:revision>
  <dcterms:created xsi:type="dcterms:W3CDTF">2024-10-16T02:45:00Z</dcterms:created>
  <dcterms:modified xsi:type="dcterms:W3CDTF">2026-04-13T17:21:00Z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51300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